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71"/>
        <w:tblW w:w="0" w:type="auto"/>
        <w:tblLayout w:type="fixed"/>
        <w:tblLook w:val="04A0"/>
      </w:tblPr>
      <w:tblGrid>
        <w:gridCol w:w="675"/>
        <w:gridCol w:w="1701"/>
        <w:gridCol w:w="426"/>
        <w:gridCol w:w="2204"/>
      </w:tblGrid>
      <w:tr w:rsidR="00C96390" w:rsidRPr="00C96390" w:rsidTr="00C27521">
        <w:trPr>
          <w:trHeight w:val="423"/>
        </w:trPr>
        <w:tc>
          <w:tcPr>
            <w:tcW w:w="675" w:type="dxa"/>
          </w:tcPr>
          <w:p w:rsidR="00C27521" w:rsidRPr="00C96390" w:rsidRDefault="00C27521" w:rsidP="00C27521">
            <w:pPr>
              <w:spacing w:before="20"/>
              <w:ind w:right="-108"/>
            </w:pPr>
            <w:bookmarkStart w:id="0" w:name="_GoBack"/>
            <w:bookmarkEnd w:id="0"/>
            <w:r w:rsidRPr="00C96390">
              <w:rPr>
                <w:rFonts w:ascii="Times New Roman" w:hAnsi="Times New Roman"/>
                <w:sz w:val="20"/>
              </w:rPr>
              <w:t>Rīgā</w:t>
            </w:r>
            <w:r w:rsidRPr="00C96390">
              <w:rPr>
                <w:sz w:val="20"/>
              </w:rPr>
              <w:t>,</w:t>
            </w:r>
          </w:p>
        </w:tc>
        <w:bookmarkStart w:id="1" w:name="reg_dat"/>
        <w:tc>
          <w:tcPr>
            <w:tcW w:w="1701" w:type="dxa"/>
          </w:tcPr>
          <w:p w:rsidR="00C27521" w:rsidRPr="00C96390" w:rsidRDefault="00611F98" w:rsidP="00C27521">
            <w:pPr>
              <w:pBdr>
                <w:bottom w:val="single" w:sz="4" w:space="1" w:color="auto"/>
              </w:pBdr>
              <w:ind w:hanging="108"/>
              <w:rPr>
                <w:rFonts w:ascii="Times New Roman" w:hAnsi="Times New Roman"/>
              </w:rPr>
            </w:pPr>
            <w:r w:rsidRPr="00C96390">
              <w:rPr>
                <w:rFonts w:ascii="Times New Roman" w:hAnsi="Times New Roman"/>
              </w:rPr>
              <w:fldChar w:fldCharType="begin">
                <w:ffData>
                  <w:name w:val="reg_dat"/>
                  <w:enabled/>
                  <w:calcOnExit w:val="0"/>
                  <w:textInput>
                    <w:default w:val="                      "/>
                  </w:textInput>
                </w:ffData>
              </w:fldChar>
            </w:r>
            <w:r w:rsidR="00C27521" w:rsidRPr="00C96390">
              <w:rPr>
                <w:rFonts w:ascii="Times New Roman" w:hAnsi="Times New Roman"/>
              </w:rPr>
              <w:instrText xml:space="preserve"> FORMTEXT </w:instrText>
            </w:r>
            <w:r w:rsidRPr="00C96390">
              <w:rPr>
                <w:rFonts w:ascii="Times New Roman" w:hAnsi="Times New Roman"/>
              </w:rPr>
            </w:r>
            <w:r w:rsidRPr="00C96390">
              <w:rPr>
                <w:rFonts w:ascii="Times New Roman" w:hAnsi="Times New Roman"/>
              </w:rPr>
              <w:fldChar w:fldCharType="separate"/>
            </w:r>
            <w:r w:rsidR="00C27521" w:rsidRPr="00C96390">
              <w:rPr>
                <w:rFonts w:ascii="Times New Roman" w:hAnsi="Times New Roman"/>
                <w:noProof/>
              </w:rPr>
              <w:t xml:space="preserve">                      </w:t>
            </w:r>
            <w:r w:rsidRPr="00C96390">
              <w:rPr>
                <w:rFonts w:ascii="Times New Roman" w:hAnsi="Times New Roman"/>
              </w:rPr>
              <w:fldChar w:fldCharType="end"/>
            </w:r>
            <w:bookmarkEnd w:id="1"/>
          </w:p>
        </w:tc>
        <w:tc>
          <w:tcPr>
            <w:tcW w:w="426" w:type="dxa"/>
          </w:tcPr>
          <w:p w:rsidR="00C27521" w:rsidRPr="00C96390" w:rsidRDefault="00C27521" w:rsidP="00C27521">
            <w:pPr>
              <w:spacing w:before="20"/>
              <w:ind w:right="-187"/>
            </w:pPr>
            <w:r w:rsidRPr="00C96390">
              <w:rPr>
                <w:rFonts w:ascii="Times New Roman" w:hAnsi="Times New Roman"/>
                <w:sz w:val="20"/>
              </w:rPr>
              <w:t>Nr</w:t>
            </w:r>
            <w:r w:rsidRPr="00C96390">
              <w:t>.</w:t>
            </w:r>
          </w:p>
        </w:tc>
        <w:tc>
          <w:tcPr>
            <w:tcW w:w="2204" w:type="dxa"/>
          </w:tcPr>
          <w:p w:rsidR="00C27521" w:rsidRPr="00C96390" w:rsidRDefault="000A6362" w:rsidP="00C27521">
            <w:pPr>
              <w:pBdr>
                <w:bottom w:val="single" w:sz="4" w:space="1" w:color="auto"/>
              </w:pBdr>
              <w:ind w:left="-29" w:hanging="78"/>
            </w:pPr>
            <w:r w:rsidRPr="00C96390">
              <w:rPr>
                <w:rFonts w:ascii="Times New Roman" w:hAnsi="Times New Roman"/>
              </w:rPr>
              <w:t>18-</w:t>
            </w:r>
            <w:r w:rsidR="00C27521" w:rsidRPr="00C96390">
              <w:rPr>
                <w:rFonts w:ascii="Times New Roman" w:hAnsi="Times New Roman"/>
              </w:rPr>
              <w:t>1e</w:t>
            </w:r>
            <w:r w:rsidR="00C27521" w:rsidRPr="00C96390">
              <w:t>/</w:t>
            </w:r>
            <w:bookmarkStart w:id="2" w:name="reg_num"/>
            <w:r w:rsidR="00611F98" w:rsidRPr="00C96390">
              <w:rPr>
                <w:rFonts w:ascii="Times New Roman" w:hAnsi="Times New Roman"/>
              </w:rPr>
              <w:fldChar w:fldCharType="begin">
                <w:ffData>
                  <w:name w:val="reg_num"/>
                  <w:enabled/>
                  <w:calcOnExit w:val="0"/>
                  <w:textInput>
                    <w:default w:val="                   "/>
                  </w:textInput>
                </w:ffData>
              </w:fldChar>
            </w:r>
            <w:r w:rsidR="00C27521" w:rsidRPr="00C96390">
              <w:rPr>
                <w:rFonts w:ascii="Times New Roman" w:hAnsi="Times New Roman"/>
              </w:rPr>
              <w:instrText xml:space="preserve"> FORMTEXT </w:instrText>
            </w:r>
            <w:r w:rsidR="00611F98" w:rsidRPr="00C96390">
              <w:rPr>
                <w:rFonts w:ascii="Times New Roman" w:hAnsi="Times New Roman"/>
              </w:rPr>
            </w:r>
            <w:r w:rsidR="00611F98" w:rsidRPr="00C96390">
              <w:rPr>
                <w:rFonts w:ascii="Times New Roman" w:hAnsi="Times New Roman"/>
              </w:rPr>
              <w:fldChar w:fldCharType="separate"/>
            </w:r>
            <w:r w:rsidR="00C27521" w:rsidRPr="00C96390">
              <w:rPr>
                <w:rFonts w:ascii="Times New Roman" w:hAnsi="Times New Roman"/>
                <w:noProof/>
              </w:rPr>
              <w:t xml:space="preserve">                   </w:t>
            </w:r>
            <w:r w:rsidR="00611F98" w:rsidRPr="00C96390">
              <w:rPr>
                <w:rFonts w:ascii="Times New Roman" w:hAnsi="Times New Roman"/>
              </w:rPr>
              <w:fldChar w:fldCharType="end"/>
            </w:r>
            <w:bookmarkEnd w:id="2"/>
          </w:p>
        </w:tc>
      </w:tr>
      <w:tr w:rsidR="00C96390" w:rsidRPr="00C96390" w:rsidTr="00C27521">
        <w:trPr>
          <w:trHeight w:val="415"/>
        </w:trPr>
        <w:tc>
          <w:tcPr>
            <w:tcW w:w="675" w:type="dxa"/>
          </w:tcPr>
          <w:p w:rsidR="00C27521" w:rsidRPr="00C96390" w:rsidRDefault="00C27521" w:rsidP="00C27521">
            <w:pPr>
              <w:spacing w:before="20"/>
              <w:rPr>
                <w:rFonts w:ascii="Times New Roman" w:hAnsi="Times New Roman"/>
                <w:sz w:val="20"/>
              </w:rPr>
            </w:pPr>
            <w:r w:rsidRPr="00C96390">
              <w:rPr>
                <w:rFonts w:ascii="Times New Roman" w:hAnsi="Times New Roman"/>
                <w:sz w:val="20"/>
              </w:rPr>
              <w:t>Uz</w:t>
            </w:r>
          </w:p>
        </w:tc>
        <w:tc>
          <w:tcPr>
            <w:tcW w:w="1701" w:type="dxa"/>
          </w:tcPr>
          <w:p w:rsidR="00C27521" w:rsidRPr="00C96390" w:rsidRDefault="00193AF1" w:rsidP="00C27521">
            <w:pPr>
              <w:pBdr>
                <w:bottom w:val="single" w:sz="4" w:space="1" w:color="auto"/>
              </w:pBdr>
              <w:ind w:hanging="108"/>
              <w:rPr>
                <w:rFonts w:ascii="Times New Roman" w:hAnsi="Times New Roman"/>
              </w:rPr>
            </w:pPr>
            <w:r w:rsidRPr="00C96390">
              <w:rPr>
                <w:rFonts w:ascii="Times New Roman" w:hAnsi="Times New Roman"/>
              </w:rPr>
              <w:t xml:space="preserve"> </w:t>
            </w:r>
            <w:r w:rsidR="00846E8F" w:rsidRPr="00C96390">
              <w:rPr>
                <w:rFonts w:ascii="Times New Roman" w:hAnsi="Times New Roman"/>
              </w:rPr>
              <w:t>30.03.2016.</w:t>
            </w:r>
          </w:p>
        </w:tc>
        <w:tc>
          <w:tcPr>
            <w:tcW w:w="426" w:type="dxa"/>
          </w:tcPr>
          <w:p w:rsidR="00C27521" w:rsidRPr="00C96390" w:rsidRDefault="00C27521" w:rsidP="00C27521">
            <w:pPr>
              <w:spacing w:before="20"/>
              <w:ind w:right="-108"/>
              <w:rPr>
                <w:rFonts w:ascii="Times New Roman" w:hAnsi="Times New Roman"/>
                <w:sz w:val="20"/>
              </w:rPr>
            </w:pPr>
            <w:r w:rsidRPr="00C96390">
              <w:rPr>
                <w:rFonts w:ascii="Times New Roman" w:hAnsi="Times New Roman"/>
                <w:sz w:val="20"/>
              </w:rPr>
              <w:t>Nr.</w:t>
            </w:r>
          </w:p>
        </w:tc>
        <w:tc>
          <w:tcPr>
            <w:tcW w:w="2204" w:type="dxa"/>
          </w:tcPr>
          <w:p w:rsidR="00C27521" w:rsidRPr="00C96390" w:rsidRDefault="00846E8F" w:rsidP="00C27521">
            <w:pPr>
              <w:pBdr>
                <w:bottom w:val="single" w:sz="4" w:space="1" w:color="auto"/>
              </w:pBdr>
              <w:ind w:left="-29" w:hanging="78"/>
              <w:rPr>
                <w:rFonts w:ascii="Times New Roman" w:hAnsi="Times New Roman"/>
              </w:rPr>
            </w:pPr>
            <w:r w:rsidRPr="00C96390">
              <w:rPr>
                <w:rFonts w:ascii="Times New Roman" w:hAnsi="Times New Roman"/>
              </w:rPr>
              <w:t>1.1-19/1678</w:t>
            </w:r>
          </w:p>
        </w:tc>
      </w:tr>
    </w:tbl>
    <w:p w:rsidR="00E80A25" w:rsidRPr="00C96390" w:rsidRDefault="00E80A25" w:rsidP="00954D5A">
      <w:pPr>
        <w:rPr>
          <w:rFonts w:ascii="Times New Roman" w:hAnsi="Times New Roman"/>
          <w:sz w:val="24"/>
          <w:szCs w:val="24"/>
        </w:rPr>
      </w:pPr>
    </w:p>
    <w:p w:rsidR="00E80A25" w:rsidRPr="00C96390" w:rsidRDefault="00E80A25" w:rsidP="00E80A25">
      <w:pPr>
        <w:rPr>
          <w:rFonts w:ascii="Times New Roman" w:hAnsi="Times New Roman"/>
          <w:sz w:val="24"/>
          <w:szCs w:val="24"/>
        </w:rPr>
      </w:pPr>
    </w:p>
    <w:p w:rsidR="0027707C" w:rsidRPr="00C96390" w:rsidRDefault="0027707C" w:rsidP="0027707C">
      <w:pPr>
        <w:spacing w:after="0" w:line="240" w:lineRule="auto"/>
        <w:jc w:val="right"/>
        <w:rPr>
          <w:rFonts w:ascii="Times New Roman" w:hAnsi="Times New Roman"/>
          <w:b/>
          <w:sz w:val="24"/>
          <w:szCs w:val="24"/>
        </w:rPr>
      </w:pPr>
    </w:p>
    <w:p w:rsidR="00846E8F" w:rsidRPr="00C96390" w:rsidRDefault="00846E8F" w:rsidP="00846E8F">
      <w:pPr>
        <w:spacing w:after="0" w:line="240" w:lineRule="auto"/>
        <w:jc w:val="right"/>
        <w:rPr>
          <w:rFonts w:ascii="Times New Roman" w:hAnsi="Times New Roman"/>
          <w:b/>
          <w:sz w:val="24"/>
          <w:szCs w:val="24"/>
        </w:rPr>
      </w:pPr>
      <w:r w:rsidRPr="00C96390">
        <w:rPr>
          <w:rFonts w:ascii="Times New Roman" w:hAnsi="Times New Roman"/>
          <w:b/>
          <w:sz w:val="24"/>
          <w:szCs w:val="24"/>
        </w:rPr>
        <w:t>Jūrmalas pilsētas domei</w:t>
      </w:r>
    </w:p>
    <w:p w:rsidR="00F91770" w:rsidRPr="00C96390" w:rsidRDefault="00611F98" w:rsidP="00846E8F">
      <w:pPr>
        <w:jc w:val="right"/>
        <w:rPr>
          <w:rFonts w:ascii="Times New Roman" w:hAnsi="Times New Roman"/>
          <w:b/>
          <w:sz w:val="24"/>
          <w:szCs w:val="24"/>
        </w:rPr>
      </w:pPr>
      <w:hyperlink r:id="rId8" w:history="1">
        <w:r w:rsidR="00846E8F" w:rsidRPr="00C96390">
          <w:rPr>
            <w:rFonts w:ascii="Times New Roman" w:hAnsi="Times New Roman"/>
            <w:sz w:val="24"/>
            <w:szCs w:val="24"/>
            <w:u w:val="single"/>
          </w:rPr>
          <w:t>pasts@jurmala.lv</w:t>
        </w:r>
      </w:hyperlink>
    </w:p>
    <w:p w:rsidR="000527DC" w:rsidRPr="00C96390" w:rsidRDefault="00466CE5" w:rsidP="000527DC">
      <w:pPr>
        <w:rPr>
          <w:rFonts w:ascii="Times New Roman" w:hAnsi="Times New Roman"/>
          <w:b/>
          <w:sz w:val="24"/>
          <w:szCs w:val="24"/>
        </w:rPr>
      </w:pPr>
      <w:r w:rsidRPr="00C96390">
        <w:rPr>
          <w:rFonts w:ascii="Times New Roman" w:hAnsi="Times New Roman"/>
          <w:b/>
          <w:sz w:val="24"/>
          <w:szCs w:val="24"/>
        </w:rPr>
        <w:t>Par</w:t>
      </w:r>
      <w:r w:rsidR="000527DC" w:rsidRPr="00C96390">
        <w:rPr>
          <w:rFonts w:ascii="Times New Roman" w:hAnsi="Times New Roman"/>
          <w:b/>
          <w:sz w:val="24"/>
          <w:szCs w:val="24"/>
        </w:rPr>
        <w:t xml:space="preserve"> </w:t>
      </w:r>
      <w:r w:rsidR="00846E8F" w:rsidRPr="00C96390">
        <w:rPr>
          <w:rFonts w:ascii="Times New Roman" w:hAnsi="Times New Roman"/>
          <w:b/>
          <w:sz w:val="24"/>
          <w:szCs w:val="24"/>
        </w:rPr>
        <w:t>Jūrmalas teritorijas plānojuma grozījumiem</w:t>
      </w:r>
    </w:p>
    <w:p w:rsidR="00846E8F" w:rsidRPr="00C96390" w:rsidRDefault="00846E8F" w:rsidP="00C96390">
      <w:pPr>
        <w:widowControl/>
        <w:spacing w:after="0"/>
        <w:ind w:firstLine="720"/>
        <w:jc w:val="both"/>
        <w:rPr>
          <w:rFonts w:ascii="Times New Roman" w:hAnsi="Times New Roman"/>
          <w:sz w:val="24"/>
          <w:szCs w:val="24"/>
        </w:rPr>
      </w:pPr>
      <w:r w:rsidRPr="00C96390">
        <w:rPr>
          <w:rFonts w:ascii="Times New Roman" w:hAnsi="Times New Roman"/>
          <w:sz w:val="24"/>
          <w:szCs w:val="24"/>
        </w:rPr>
        <w:t xml:space="preserve">Pamatojoties uz Teritorijas attīstības plānošanas likumā (turpmāk – TAPL) noteikto kārtību, Vides aizsardzības un reģionālās attīstības ministrija (turpmāk – ministrija) ir izvērtējusi Jūrmalas pilsētas teritorijas plānojuma grozījumus (turpmāk – Jūrmalas TPG), kas 2016.gada 24.martā apstiprināti ar Jūrmalas pilsētas domes (turpmāk – Dome) saistošajiem noteikumiem Nr.8 „Par Jūrmalas pilsētas Teritorijas plānojuma grozījumu grafiskās daļas, teritorijas izmantošanas un apbūves noteikumu apstiprināšanu” (turpmāk – saistošie noteikumi Nr.8). </w:t>
      </w:r>
      <w:r w:rsidR="007E35C4" w:rsidRPr="00C96390">
        <w:rPr>
          <w:rFonts w:ascii="Times New Roman" w:hAnsi="Times New Roman"/>
          <w:sz w:val="24"/>
          <w:szCs w:val="24"/>
        </w:rPr>
        <w:t>TAPL noteiktajā apstrīdēšanas periodā ministrija ir saņēmusi 11 privātpersonu iesniegumus ar lūgumu atcelt saistošos noteikumus Nr.8 pilnībā vai daļā.</w:t>
      </w:r>
    </w:p>
    <w:p w:rsidR="00B959BC" w:rsidRPr="00C96390" w:rsidRDefault="00B959BC" w:rsidP="00C96390">
      <w:pPr>
        <w:widowControl/>
        <w:spacing w:after="0"/>
        <w:ind w:firstLine="720"/>
        <w:jc w:val="both"/>
        <w:rPr>
          <w:rFonts w:ascii="Times New Roman" w:hAnsi="Times New Roman"/>
          <w:sz w:val="24"/>
          <w:szCs w:val="24"/>
        </w:rPr>
      </w:pPr>
      <w:r w:rsidRPr="00C96390">
        <w:rPr>
          <w:rFonts w:ascii="Times New Roman" w:hAnsi="Times New Roman"/>
          <w:sz w:val="24"/>
          <w:szCs w:val="24"/>
        </w:rPr>
        <w:t xml:space="preserve">Kā </w:t>
      </w:r>
      <w:r w:rsidR="00457809" w:rsidRPr="00C96390">
        <w:rPr>
          <w:rFonts w:ascii="Times New Roman" w:hAnsi="Times New Roman"/>
          <w:sz w:val="24"/>
          <w:szCs w:val="24"/>
        </w:rPr>
        <w:t xml:space="preserve">savā praksē vairākkārt atzinusi </w:t>
      </w:r>
      <w:r w:rsidR="001017C3" w:rsidRPr="00C96390">
        <w:rPr>
          <w:rFonts w:ascii="Times New Roman" w:hAnsi="Times New Roman"/>
          <w:sz w:val="24"/>
          <w:szCs w:val="24"/>
        </w:rPr>
        <w:t xml:space="preserve">Latvijas Republikas </w:t>
      </w:r>
      <w:r w:rsidRPr="00C96390">
        <w:rPr>
          <w:rFonts w:ascii="Times New Roman" w:hAnsi="Times New Roman"/>
          <w:sz w:val="24"/>
          <w:szCs w:val="24"/>
        </w:rPr>
        <w:t>Satversmes tiesa</w:t>
      </w:r>
      <w:r w:rsidR="001017C3" w:rsidRPr="00C96390">
        <w:rPr>
          <w:rFonts w:ascii="Times New Roman" w:hAnsi="Times New Roman"/>
          <w:sz w:val="24"/>
          <w:szCs w:val="24"/>
        </w:rPr>
        <w:t xml:space="preserve"> (turpmāk – Satversmes tiesa)</w:t>
      </w:r>
      <w:r w:rsidRPr="00C96390">
        <w:rPr>
          <w:rFonts w:ascii="Times New Roman" w:hAnsi="Times New Roman"/>
          <w:sz w:val="24"/>
          <w:szCs w:val="24"/>
        </w:rPr>
        <w:t>, lai teritorijas plānojums būtu tiesisks, tam, pirmkārt, jāatbilst normatīvajiem aktiem un, otrkārt, jābūt noteiktā kārtībā izstrādātam un apstiprinātam (</w:t>
      </w:r>
      <w:r w:rsidRPr="00C96390">
        <w:rPr>
          <w:rFonts w:ascii="Times New Roman" w:hAnsi="Times New Roman"/>
          <w:i/>
          <w:sz w:val="24"/>
          <w:szCs w:val="24"/>
        </w:rPr>
        <w:t>piemēram,</w:t>
      </w:r>
      <w:r w:rsidR="001017C3" w:rsidRPr="00C96390">
        <w:rPr>
          <w:rFonts w:ascii="Times New Roman" w:hAnsi="Times New Roman"/>
          <w:i/>
          <w:sz w:val="24"/>
          <w:szCs w:val="24"/>
        </w:rPr>
        <w:t xml:space="preserve"> sk.</w:t>
      </w:r>
      <w:r w:rsidRPr="00C96390">
        <w:rPr>
          <w:rFonts w:ascii="Times New Roman" w:hAnsi="Times New Roman"/>
          <w:i/>
          <w:sz w:val="24"/>
          <w:szCs w:val="24"/>
        </w:rPr>
        <w:t xml:space="preserve"> Satversmes tiesas 2004.gada 9.marta spriedumu lietā Nr.2003-16-05, secinājumu daļas 4.punkts</w:t>
      </w:r>
      <w:r w:rsidRPr="00C96390">
        <w:rPr>
          <w:rFonts w:ascii="Times New Roman" w:hAnsi="Times New Roman"/>
          <w:sz w:val="24"/>
          <w:szCs w:val="24"/>
        </w:rPr>
        <w:t>). Atbilstoši TAPL 9.panta pirmās daļas 4.punktā noteiktajai ministrijas kompetencei, ministrija vērtē vietējo pašvaldību teritorijas plānojumu atbilstību normatīvajiem aktiem.</w:t>
      </w:r>
    </w:p>
    <w:p w:rsidR="005310E2" w:rsidRPr="00C96390" w:rsidRDefault="005310E2" w:rsidP="00C96390">
      <w:pPr>
        <w:widowControl/>
        <w:spacing w:after="0"/>
        <w:ind w:firstLine="720"/>
        <w:jc w:val="both"/>
        <w:rPr>
          <w:rFonts w:ascii="Times New Roman" w:hAnsi="Times New Roman"/>
          <w:sz w:val="24"/>
          <w:szCs w:val="24"/>
        </w:rPr>
      </w:pPr>
    </w:p>
    <w:p w:rsidR="007E35C4" w:rsidRPr="00C96390" w:rsidRDefault="001017C3" w:rsidP="00C96390">
      <w:pPr>
        <w:spacing w:after="0"/>
        <w:jc w:val="both"/>
        <w:rPr>
          <w:rFonts w:ascii="Times New Roman" w:hAnsi="Times New Roman"/>
          <w:sz w:val="24"/>
          <w:szCs w:val="24"/>
        </w:rPr>
      </w:pPr>
      <w:r w:rsidRPr="00C96390">
        <w:rPr>
          <w:rFonts w:ascii="Times New Roman" w:hAnsi="Times New Roman"/>
          <w:b/>
          <w:sz w:val="24"/>
          <w:szCs w:val="24"/>
        </w:rPr>
        <w:t xml:space="preserve">1. </w:t>
      </w:r>
      <w:r w:rsidR="007E35C4" w:rsidRPr="00C96390">
        <w:rPr>
          <w:rFonts w:ascii="Times New Roman" w:hAnsi="Times New Roman"/>
          <w:b/>
          <w:sz w:val="24"/>
          <w:szCs w:val="24"/>
        </w:rPr>
        <w:t xml:space="preserve">Izvērtējot Jūrmalas TPG </w:t>
      </w:r>
      <w:r w:rsidR="00C4187B" w:rsidRPr="00C96390">
        <w:rPr>
          <w:rFonts w:ascii="Times New Roman" w:hAnsi="Times New Roman"/>
          <w:b/>
          <w:sz w:val="24"/>
          <w:szCs w:val="24"/>
        </w:rPr>
        <w:t xml:space="preserve">izstrādes procedūru un tās atbilstību </w:t>
      </w:r>
      <w:r w:rsidR="007E35C4" w:rsidRPr="00C96390">
        <w:rPr>
          <w:rFonts w:ascii="Times New Roman" w:hAnsi="Times New Roman"/>
          <w:b/>
          <w:sz w:val="24"/>
          <w:szCs w:val="24"/>
        </w:rPr>
        <w:t>normatīvo aktu prasībām, ministrija konstatēja sekojošo</w:t>
      </w:r>
      <w:r w:rsidR="007E35C4" w:rsidRPr="00C96390">
        <w:rPr>
          <w:rFonts w:ascii="Times New Roman" w:hAnsi="Times New Roman"/>
          <w:sz w:val="24"/>
          <w:szCs w:val="24"/>
        </w:rPr>
        <w:t>.</w:t>
      </w:r>
    </w:p>
    <w:p w:rsidR="00466CE5" w:rsidRPr="00C96390" w:rsidRDefault="001017C3" w:rsidP="00C96390">
      <w:pPr>
        <w:tabs>
          <w:tab w:val="left" w:pos="284"/>
        </w:tabs>
        <w:spacing w:after="0"/>
        <w:ind w:firstLine="709"/>
        <w:jc w:val="both"/>
        <w:rPr>
          <w:rFonts w:ascii="Times New Roman" w:hAnsi="Times New Roman"/>
          <w:sz w:val="24"/>
          <w:szCs w:val="24"/>
        </w:rPr>
      </w:pPr>
      <w:r w:rsidRPr="00C96390">
        <w:rPr>
          <w:rFonts w:ascii="Times New Roman" w:hAnsi="Times New Roman"/>
          <w:sz w:val="24"/>
          <w:szCs w:val="24"/>
        </w:rPr>
        <w:tab/>
      </w:r>
      <w:r w:rsidR="007E35C4" w:rsidRPr="00C96390">
        <w:rPr>
          <w:rFonts w:ascii="Times New Roman" w:hAnsi="Times New Roman"/>
          <w:sz w:val="24"/>
          <w:szCs w:val="24"/>
        </w:rPr>
        <w:t>Jūrmalas TPG izstrāde uzsākta ar Domes 2014.gada 15.maija lēmumu Nr.236 „Par Jūrmalas pilsētas teritorijas plānojuma grozījumu izstrādes uzsākšanu”, kad spēkā bija Ministru kabineta 2012.gada 16.oktobra noteikumi Nr.711 „Noteikumi par pašvaldību teritorijas attīstības plānošanas dokumentiem”.</w:t>
      </w:r>
    </w:p>
    <w:p w:rsidR="007E35C4" w:rsidRPr="00C96390" w:rsidRDefault="009637AD" w:rsidP="00C96390">
      <w:pPr>
        <w:tabs>
          <w:tab w:val="left" w:pos="284"/>
        </w:tabs>
        <w:spacing w:after="0"/>
        <w:jc w:val="both"/>
        <w:rPr>
          <w:rFonts w:ascii="Times New Roman" w:hAnsi="Times New Roman"/>
          <w:sz w:val="24"/>
          <w:szCs w:val="24"/>
        </w:rPr>
      </w:pPr>
      <w:r w:rsidRPr="00C96390">
        <w:rPr>
          <w:rFonts w:ascii="Times New Roman" w:hAnsi="Times New Roman"/>
          <w:sz w:val="24"/>
          <w:szCs w:val="24"/>
        </w:rPr>
        <w:tab/>
      </w:r>
      <w:r w:rsidRPr="00C96390">
        <w:rPr>
          <w:rFonts w:ascii="Times New Roman" w:hAnsi="Times New Roman"/>
          <w:sz w:val="24"/>
          <w:szCs w:val="24"/>
        </w:rPr>
        <w:tab/>
        <w:t xml:space="preserve">Daļa privātpersonu, kas apstrīdēja Jūrmalas TPG, uzskata, ka nav bijis pietiekoši skaidrots, kāpēc bija jāveic 2012.gadā apstiprinātā Jūrmalas teritorijas plānojuma grozījumi. Kā izriet no likumā „Par pašvaldībām” un TAPL noteiktās ekskluzīvās pašvaldības kompetences pašvaldības teritorijas plānojuma izstrādē, </w:t>
      </w:r>
      <w:r w:rsidR="00CB622D" w:rsidRPr="00C96390">
        <w:rPr>
          <w:rFonts w:ascii="Times New Roman" w:hAnsi="Times New Roman"/>
          <w:sz w:val="24"/>
          <w:szCs w:val="24"/>
        </w:rPr>
        <w:t xml:space="preserve">lēmuma pieņemšana par teritorijas plānojuma vai tā grozījumu izstrādi ir tikai un vienīgi katras pašvaldības kompetencē. </w:t>
      </w:r>
    </w:p>
    <w:p w:rsidR="00E26D3F" w:rsidRPr="00C96390" w:rsidRDefault="003606E5" w:rsidP="00C96390">
      <w:pPr>
        <w:spacing w:after="0"/>
        <w:jc w:val="both"/>
        <w:rPr>
          <w:rFonts w:ascii="Times New Roman" w:hAnsi="Times New Roman"/>
          <w:sz w:val="24"/>
          <w:szCs w:val="24"/>
        </w:rPr>
      </w:pPr>
      <w:r w:rsidRPr="00C96390">
        <w:rPr>
          <w:rFonts w:ascii="Times New Roman" w:hAnsi="Times New Roman"/>
          <w:sz w:val="24"/>
          <w:szCs w:val="24"/>
        </w:rPr>
        <w:tab/>
        <w:t>Ņemot vērā, ka Ministru kabineta 2014.gada 8.jūlija noteikumu Nr.392 „Teritorijas attīstības plānošanas informācijas sistēmas noteikumi”</w:t>
      </w:r>
      <w:r w:rsidRPr="00C96390">
        <w:t xml:space="preserve"> </w:t>
      </w:r>
      <w:r w:rsidRPr="00C96390">
        <w:rPr>
          <w:rFonts w:ascii="Times New Roman" w:hAnsi="Times New Roman"/>
          <w:sz w:val="24"/>
          <w:szCs w:val="24"/>
        </w:rPr>
        <w:t>46.punkts noteic, ka ar 2015.gada 1.maiju darbību produkcijas vidē uzsāk</w:t>
      </w:r>
      <w:r w:rsidRPr="00C96390">
        <w:t xml:space="preserve"> </w:t>
      </w:r>
      <w:r w:rsidRPr="00C96390">
        <w:rPr>
          <w:rFonts w:ascii="Times New Roman" w:hAnsi="Times New Roman"/>
          <w:sz w:val="24"/>
          <w:szCs w:val="24"/>
        </w:rPr>
        <w:t xml:space="preserve">Teritorijas attīstības plānošanas informācijas sistēma </w:t>
      </w:r>
      <w:r w:rsidR="00222062" w:rsidRPr="00C96390">
        <w:rPr>
          <w:rFonts w:ascii="Times New Roman" w:hAnsi="Times New Roman"/>
          <w:sz w:val="24"/>
          <w:szCs w:val="24"/>
        </w:rPr>
        <w:t xml:space="preserve">(turpmāk – </w:t>
      </w:r>
      <w:r w:rsidR="00222062" w:rsidRPr="00C96390">
        <w:rPr>
          <w:rFonts w:ascii="Times New Roman" w:hAnsi="Times New Roman"/>
          <w:sz w:val="24"/>
          <w:szCs w:val="24"/>
        </w:rPr>
        <w:lastRenderedPageBreak/>
        <w:t xml:space="preserve">TAPIS) </w:t>
      </w:r>
      <w:r w:rsidRPr="00C96390">
        <w:rPr>
          <w:rFonts w:ascii="Times New Roman" w:hAnsi="Times New Roman"/>
          <w:sz w:val="24"/>
          <w:szCs w:val="24"/>
        </w:rPr>
        <w:t xml:space="preserve">un šajā dienā spēkā stājās </w:t>
      </w:r>
      <w:r w:rsidR="00222062" w:rsidRPr="00C96390">
        <w:rPr>
          <w:rFonts w:ascii="Times New Roman" w:hAnsi="Times New Roman"/>
          <w:sz w:val="24"/>
          <w:szCs w:val="24"/>
        </w:rPr>
        <w:t>Ministru kabineta 2014.gada 14.oktobra noteikumi Nr.628 „Noteikumi par pašvaldību teritorijas attīstības plānošanas dokumentiem”</w:t>
      </w:r>
      <w:r w:rsidR="00E259A0" w:rsidRPr="00C96390">
        <w:rPr>
          <w:rFonts w:ascii="Times New Roman" w:hAnsi="Times New Roman"/>
          <w:sz w:val="24"/>
          <w:szCs w:val="24"/>
        </w:rPr>
        <w:t xml:space="preserve"> (turpmāk – noteikumi Nr.628)</w:t>
      </w:r>
      <w:r w:rsidR="00222062" w:rsidRPr="00C96390">
        <w:rPr>
          <w:rFonts w:ascii="Times New Roman" w:hAnsi="Times New Roman"/>
          <w:sz w:val="24"/>
          <w:szCs w:val="24"/>
        </w:rPr>
        <w:t>, kuri noteic kārtību, kādā izstrādājami teritorijas attīstības plānošanas dokumenti, izmantojot TAPIS, Jūrmalas TPG dokum</w:t>
      </w:r>
      <w:r w:rsidR="00286E71" w:rsidRPr="00C96390">
        <w:rPr>
          <w:rFonts w:ascii="Times New Roman" w:hAnsi="Times New Roman"/>
          <w:sz w:val="24"/>
          <w:szCs w:val="24"/>
        </w:rPr>
        <w:t>enti tika sagatavoti strukturētu</w:t>
      </w:r>
      <w:r w:rsidR="00222062" w:rsidRPr="00C96390">
        <w:rPr>
          <w:rFonts w:ascii="Times New Roman" w:hAnsi="Times New Roman"/>
          <w:sz w:val="24"/>
          <w:szCs w:val="24"/>
        </w:rPr>
        <w:t xml:space="preserve"> datu ievades formā un to</w:t>
      </w:r>
      <w:r w:rsidR="00E26D3F" w:rsidRPr="00C96390">
        <w:rPr>
          <w:rFonts w:ascii="Times New Roman" w:hAnsi="Times New Roman"/>
          <w:sz w:val="24"/>
          <w:szCs w:val="24"/>
        </w:rPr>
        <w:t xml:space="preserve"> </w:t>
      </w:r>
      <w:r w:rsidR="00222062" w:rsidRPr="00C96390">
        <w:rPr>
          <w:rFonts w:ascii="Times New Roman" w:hAnsi="Times New Roman"/>
          <w:sz w:val="24"/>
          <w:szCs w:val="24"/>
        </w:rPr>
        <w:t xml:space="preserve">1.redakcijas apspriešana notika no 2015.gada 24.augusta līdz 11.oktobrim. Līdz ar to sabiedrībai tika dota iespēja piedalīties Jūrmalas TPG publiskajā apspriešanā, izmantojot TAPIS publiskajā daļā </w:t>
      </w:r>
      <w:r w:rsidR="00222062" w:rsidRPr="00C96390">
        <w:rPr>
          <w:rFonts w:ascii="Times New Roman" w:hAnsi="Times New Roman"/>
          <w:i/>
          <w:sz w:val="24"/>
          <w:szCs w:val="24"/>
        </w:rPr>
        <w:t>Ģeoportāla Telpiskās attīstības plānošanas sadaļā.</w:t>
      </w:r>
      <w:r w:rsidR="00286E71" w:rsidRPr="00C96390">
        <w:rPr>
          <w:rFonts w:ascii="Times New Roman" w:hAnsi="Times New Roman"/>
          <w:sz w:val="24"/>
          <w:szCs w:val="24"/>
        </w:rPr>
        <w:t xml:space="preserve"> Jūrmalas TPG pilnveidotās redakcijas publiskā apspriešana norisinājās no 2016.gada 6.janvāra līdz 2016.gada 27.janvārim.</w:t>
      </w:r>
      <w:r w:rsidR="0012346F" w:rsidRPr="00C96390">
        <w:rPr>
          <w:rFonts w:ascii="Times New Roman" w:hAnsi="Times New Roman"/>
          <w:sz w:val="24"/>
          <w:szCs w:val="24"/>
        </w:rPr>
        <w:t xml:space="preserve"> </w:t>
      </w:r>
    </w:p>
    <w:p w:rsidR="000D6CBB" w:rsidRPr="00C96390" w:rsidRDefault="0012346F" w:rsidP="00C96390">
      <w:pPr>
        <w:spacing w:after="0"/>
        <w:ind w:firstLine="709"/>
        <w:jc w:val="both"/>
        <w:rPr>
          <w:rFonts w:ascii="Times New Roman" w:hAnsi="Times New Roman"/>
          <w:sz w:val="24"/>
          <w:szCs w:val="24"/>
        </w:rPr>
      </w:pPr>
      <w:r w:rsidRPr="00C96390">
        <w:rPr>
          <w:rFonts w:ascii="Times New Roman" w:hAnsi="Times New Roman"/>
          <w:sz w:val="24"/>
          <w:szCs w:val="24"/>
        </w:rPr>
        <w:t>Jūrmalas TPG materiāli ir publicēti Ģeoportāla Telpiskās attīstības plānošanas sadaļā (</w:t>
      </w:r>
      <w:hyperlink r:id="rId9" w:anchor="document_432" w:history="1">
        <w:r w:rsidRPr="00C96390">
          <w:rPr>
            <w:rFonts w:ascii="Times New Roman" w:hAnsi="Times New Roman"/>
            <w:sz w:val="24"/>
            <w:szCs w:val="24"/>
            <w:u w:val="single"/>
          </w:rPr>
          <w:t>https://geolatvija.lv/geo/tapis3#document_432</w:t>
        </w:r>
      </w:hyperlink>
      <w:r w:rsidRPr="00C96390">
        <w:t xml:space="preserve">) </w:t>
      </w:r>
      <w:r w:rsidRPr="00C96390">
        <w:rPr>
          <w:rFonts w:ascii="Times New Roman" w:hAnsi="Times New Roman"/>
          <w:sz w:val="24"/>
          <w:szCs w:val="24"/>
        </w:rPr>
        <w:t xml:space="preserve">un pašvaldības tīmekļa vietnē </w:t>
      </w:r>
      <w:hyperlink r:id="rId10" w:history="1">
        <w:r w:rsidRPr="00C96390">
          <w:rPr>
            <w:rStyle w:val="a7"/>
            <w:rFonts w:ascii="Times New Roman" w:hAnsi="Times New Roman"/>
            <w:color w:val="auto"/>
            <w:sz w:val="24"/>
            <w:szCs w:val="24"/>
          </w:rPr>
          <w:t>www.jurmala.lv</w:t>
        </w:r>
      </w:hyperlink>
      <w:r w:rsidRPr="00C96390">
        <w:rPr>
          <w:rFonts w:ascii="Times New Roman" w:hAnsi="Times New Roman"/>
          <w:sz w:val="24"/>
          <w:szCs w:val="24"/>
        </w:rPr>
        <w:t xml:space="preserve"> (</w:t>
      </w:r>
      <w:hyperlink w:history="1">
        <w:hyperlink r:id="rId11" w:history="1">
          <w:r w:rsidRPr="00C96390">
            <w:rPr>
              <w:rFonts w:ascii="Times New Roman" w:hAnsi="Times New Roman"/>
              <w:sz w:val="24"/>
              <w:szCs w:val="24"/>
              <w:u w:val="single"/>
            </w:rPr>
            <w:t>http://jurmala.lv/docs/j16/l/j160138.htm</w:t>
          </w:r>
        </w:hyperlink>
      </w:hyperlink>
      <w:r w:rsidRPr="00C96390">
        <w:rPr>
          <w:rFonts w:ascii="Times New Roman" w:hAnsi="Times New Roman"/>
          <w:sz w:val="24"/>
          <w:szCs w:val="24"/>
        </w:rPr>
        <w:t>).</w:t>
      </w:r>
      <w:r w:rsidR="00CB622D" w:rsidRPr="00C96390">
        <w:rPr>
          <w:rFonts w:ascii="Times New Roman" w:hAnsi="Times New Roman"/>
          <w:sz w:val="24"/>
          <w:szCs w:val="24"/>
        </w:rPr>
        <w:t xml:space="preserve"> </w:t>
      </w:r>
      <w:r w:rsidR="00286E71" w:rsidRPr="00C96390">
        <w:rPr>
          <w:rFonts w:ascii="Times New Roman" w:hAnsi="Times New Roman"/>
          <w:sz w:val="24"/>
          <w:szCs w:val="24"/>
        </w:rPr>
        <w:t xml:space="preserve">Kopumā abu </w:t>
      </w:r>
      <w:r w:rsidR="00855118" w:rsidRPr="00C96390">
        <w:rPr>
          <w:rFonts w:ascii="Times New Roman" w:hAnsi="Times New Roman"/>
          <w:sz w:val="24"/>
          <w:szCs w:val="24"/>
        </w:rPr>
        <w:t>Jūrmalas TPG p</w:t>
      </w:r>
      <w:r w:rsidR="00286E71" w:rsidRPr="00C96390">
        <w:rPr>
          <w:rFonts w:ascii="Times New Roman" w:hAnsi="Times New Roman"/>
          <w:sz w:val="24"/>
          <w:szCs w:val="24"/>
        </w:rPr>
        <w:t>ublisko</w:t>
      </w:r>
      <w:r w:rsidR="00855118" w:rsidRPr="00C96390">
        <w:rPr>
          <w:rFonts w:ascii="Times New Roman" w:hAnsi="Times New Roman"/>
          <w:sz w:val="24"/>
          <w:szCs w:val="24"/>
        </w:rPr>
        <w:t xml:space="preserve"> apspriešan</w:t>
      </w:r>
      <w:r w:rsidR="00286E71" w:rsidRPr="00C96390">
        <w:rPr>
          <w:rFonts w:ascii="Times New Roman" w:hAnsi="Times New Roman"/>
          <w:sz w:val="24"/>
          <w:szCs w:val="24"/>
        </w:rPr>
        <w:t>u ietvaros</w:t>
      </w:r>
      <w:r w:rsidR="00855118" w:rsidRPr="00C96390">
        <w:rPr>
          <w:rFonts w:ascii="Times New Roman" w:hAnsi="Times New Roman"/>
          <w:sz w:val="24"/>
          <w:szCs w:val="24"/>
        </w:rPr>
        <w:t xml:space="preserve"> </w:t>
      </w:r>
      <w:r w:rsidRPr="00C96390">
        <w:rPr>
          <w:rFonts w:ascii="Times New Roman" w:hAnsi="Times New Roman"/>
          <w:sz w:val="24"/>
          <w:szCs w:val="24"/>
        </w:rPr>
        <w:t xml:space="preserve">bija </w:t>
      </w:r>
      <w:r w:rsidR="00855118" w:rsidRPr="00C96390">
        <w:rPr>
          <w:rFonts w:ascii="Times New Roman" w:hAnsi="Times New Roman"/>
          <w:sz w:val="24"/>
          <w:szCs w:val="24"/>
        </w:rPr>
        <w:t xml:space="preserve">saņemti </w:t>
      </w:r>
      <w:r w:rsidR="00286E71" w:rsidRPr="00C96390">
        <w:rPr>
          <w:rFonts w:ascii="Times New Roman" w:hAnsi="Times New Roman"/>
          <w:sz w:val="24"/>
          <w:szCs w:val="24"/>
        </w:rPr>
        <w:t>ap 6</w:t>
      </w:r>
      <w:r w:rsidR="00855118" w:rsidRPr="00C96390">
        <w:rPr>
          <w:rFonts w:ascii="Times New Roman" w:hAnsi="Times New Roman"/>
          <w:sz w:val="24"/>
          <w:szCs w:val="24"/>
        </w:rPr>
        <w:t>00</w:t>
      </w:r>
      <w:r w:rsidR="00286E71" w:rsidRPr="00C96390">
        <w:rPr>
          <w:rFonts w:ascii="Times New Roman" w:hAnsi="Times New Roman"/>
          <w:sz w:val="24"/>
          <w:szCs w:val="24"/>
        </w:rPr>
        <w:t xml:space="preserve"> iesniegumi</w:t>
      </w:r>
      <w:r w:rsidR="00C13906" w:rsidRPr="00C96390">
        <w:rPr>
          <w:rFonts w:ascii="Times New Roman" w:hAnsi="Times New Roman"/>
          <w:strike/>
          <w:sz w:val="24"/>
          <w:szCs w:val="24"/>
        </w:rPr>
        <w:t>.</w:t>
      </w:r>
    </w:p>
    <w:p w:rsidR="00F94574" w:rsidRPr="00C96390" w:rsidRDefault="00B959BC" w:rsidP="00C96390">
      <w:pPr>
        <w:spacing w:after="0"/>
        <w:ind w:firstLine="720"/>
        <w:jc w:val="both"/>
        <w:rPr>
          <w:rFonts w:ascii="Times New Roman" w:hAnsi="Times New Roman"/>
          <w:sz w:val="24"/>
          <w:szCs w:val="24"/>
        </w:rPr>
      </w:pPr>
      <w:r w:rsidRPr="00C96390">
        <w:rPr>
          <w:rFonts w:ascii="Times New Roman" w:hAnsi="Times New Roman"/>
          <w:sz w:val="24"/>
          <w:szCs w:val="24"/>
        </w:rPr>
        <w:t>A</w:t>
      </w:r>
      <w:r w:rsidR="00450C00" w:rsidRPr="00C96390">
        <w:rPr>
          <w:rFonts w:ascii="Times New Roman" w:hAnsi="Times New Roman"/>
          <w:sz w:val="24"/>
          <w:szCs w:val="24"/>
        </w:rPr>
        <w:t>r sabiedrības līdzdalību tiek nodrošināta plānojuma leģitimitāte un plānošanas procesa atklātība</w:t>
      </w:r>
      <w:r w:rsidRPr="00C96390">
        <w:rPr>
          <w:rFonts w:ascii="Times New Roman" w:hAnsi="Times New Roman"/>
          <w:sz w:val="24"/>
          <w:szCs w:val="24"/>
        </w:rPr>
        <w:t>. P</w:t>
      </w:r>
      <w:r w:rsidR="00450C00" w:rsidRPr="00C96390">
        <w:rPr>
          <w:rFonts w:ascii="Times New Roman" w:hAnsi="Times New Roman"/>
          <w:sz w:val="24"/>
          <w:szCs w:val="24"/>
        </w:rPr>
        <w:t>ersonu ierosinājumi ir rūpīgi jāizvērtē, vadoties no lietderības apsvērumiem. Ir jāapsver šo ierosinājumu piemērotība, nepieciešamība un atbilstība konkrētā plānojuma izstrādāšanas mērķim. No vienas puses, pašvaldība ir tiesīga noraidīt atsevišķu institūciju, personu vai ieinteresētās sabiedrības viedokli, paredzot citu, lietderīgāku rezultātu, kas kopumā vairāk atbilst sākotnējam plānojuma izstrādāšanas mērķim. Taču, no otras puses, šādam noraidījumam ir jābūt pietiekami argumentētam. Proti, pašvaldībai, noraidot sabiedrības izteikto viedokli, ir jāsniedz šā noraidījuma pamatojums (</w:t>
      </w:r>
      <w:r w:rsidR="00450C00" w:rsidRPr="00C96390">
        <w:rPr>
          <w:rFonts w:ascii="Times New Roman" w:hAnsi="Times New Roman"/>
          <w:i/>
          <w:sz w:val="24"/>
          <w:szCs w:val="24"/>
        </w:rPr>
        <w:t>sk. Satversmes tiesas 2004. gada 9. marta sprieduma lietā Nr. 2003-16-05 secinājumu daļas 5. punktu</w:t>
      </w:r>
      <w:r w:rsidR="00450C00" w:rsidRPr="00C96390">
        <w:rPr>
          <w:rFonts w:ascii="Times New Roman" w:hAnsi="Times New Roman"/>
          <w:sz w:val="24"/>
          <w:szCs w:val="24"/>
        </w:rPr>
        <w:t>).</w:t>
      </w:r>
      <w:r w:rsidRPr="00C96390">
        <w:rPr>
          <w:rFonts w:ascii="Times New Roman" w:hAnsi="Times New Roman"/>
          <w:sz w:val="24"/>
          <w:szCs w:val="24"/>
        </w:rPr>
        <w:t xml:space="preserve"> </w:t>
      </w:r>
    </w:p>
    <w:p w:rsidR="00F94574" w:rsidRPr="00C96390" w:rsidRDefault="00F94574" w:rsidP="00C96390">
      <w:pPr>
        <w:spacing w:after="0"/>
        <w:ind w:firstLine="720"/>
        <w:jc w:val="both"/>
        <w:rPr>
          <w:rFonts w:ascii="Times New Roman" w:hAnsi="Times New Roman"/>
          <w:sz w:val="24"/>
          <w:szCs w:val="24"/>
        </w:rPr>
      </w:pPr>
      <w:r w:rsidRPr="00C96390">
        <w:rPr>
          <w:rFonts w:ascii="Times New Roman" w:hAnsi="Times New Roman"/>
          <w:sz w:val="24"/>
          <w:szCs w:val="24"/>
        </w:rPr>
        <w:t>Saskaņā ar likuma „Par pašvaldībām” 3.pantā noteikto</w:t>
      </w:r>
      <w:r w:rsidR="006F503F" w:rsidRPr="00C96390">
        <w:rPr>
          <w:rFonts w:ascii="Times New Roman" w:hAnsi="Times New Roman"/>
          <w:sz w:val="24"/>
          <w:szCs w:val="24"/>
        </w:rPr>
        <w:t>,</w:t>
      </w:r>
      <w:r w:rsidRPr="00C96390">
        <w:rPr>
          <w:rFonts w:ascii="Times New Roman" w:hAnsi="Times New Roman"/>
          <w:sz w:val="24"/>
          <w:szCs w:val="24"/>
        </w:rPr>
        <w:t xml:space="preserve"> vietējā pašvaldība ir vietējā pārvalde, kas ar pilsoņu vēlētas pārstāvniecības </w:t>
      </w:r>
      <w:r w:rsidR="00857F03" w:rsidRPr="00C96390">
        <w:rPr>
          <w:rFonts w:ascii="Times New Roman" w:hAnsi="Times New Roman"/>
          <w:sz w:val="24"/>
          <w:szCs w:val="24"/>
        </w:rPr>
        <w:t>– </w:t>
      </w:r>
      <w:r w:rsidRPr="00C96390">
        <w:rPr>
          <w:rFonts w:ascii="Times New Roman" w:hAnsi="Times New Roman"/>
          <w:sz w:val="24"/>
          <w:szCs w:val="24"/>
        </w:rPr>
        <w:t xml:space="preserve"> domes</w:t>
      </w:r>
      <w:r w:rsidR="00857F03" w:rsidRPr="00C96390">
        <w:rPr>
          <w:rFonts w:ascii="Times New Roman" w:hAnsi="Times New Roman"/>
          <w:sz w:val="24"/>
          <w:szCs w:val="24"/>
        </w:rPr>
        <w:t> – </w:t>
      </w:r>
      <w:r w:rsidRPr="00C96390">
        <w:rPr>
          <w:rFonts w:ascii="Times New Roman" w:hAnsi="Times New Roman"/>
          <w:sz w:val="24"/>
          <w:szCs w:val="24"/>
        </w:rPr>
        <w:t xml:space="preserve">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w:t>
      </w:r>
    </w:p>
    <w:p w:rsidR="00B959BC" w:rsidRPr="00C96390" w:rsidRDefault="00F94574" w:rsidP="00C96390">
      <w:pPr>
        <w:spacing w:after="0"/>
        <w:ind w:firstLine="720"/>
        <w:jc w:val="both"/>
        <w:rPr>
          <w:rFonts w:ascii="Times New Roman" w:hAnsi="Times New Roman"/>
          <w:sz w:val="24"/>
          <w:szCs w:val="24"/>
        </w:rPr>
      </w:pPr>
      <w:r w:rsidRPr="00C96390">
        <w:rPr>
          <w:rFonts w:ascii="Times New Roman" w:hAnsi="Times New Roman"/>
          <w:sz w:val="24"/>
          <w:szCs w:val="24"/>
        </w:rPr>
        <w:t>Ar vietējās pašvaldības teritorijas plānojumu tiek noteikts tiešs īpašumtiesību ierobežojums, jo plānojums nepastarpināti sabiedrības interesēs ierobežo privātpersonas tiesības uz īpašumu, kā tas izriet no Satversmes tiesas 2007.gada 26.aprīļa spriedums lietā Nr.2006-38-03, secinājumu daļas 8.1.apakšpunktā minētā. Tātad viens no veidiem, kā īpašuma tiesības var ierobežot sabiedrības interesēs, ir teritorijas plānošana (</w:t>
      </w:r>
      <w:r w:rsidRPr="00C96390">
        <w:rPr>
          <w:rFonts w:ascii="Times New Roman" w:hAnsi="Times New Roman"/>
          <w:i/>
          <w:sz w:val="24"/>
          <w:szCs w:val="24"/>
        </w:rPr>
        <w:t>sk. Satversmes tiesas 2005.gada 14.decembra sprieduma lietā Nr. 2005-10-03 8.punktu</w:t>
      </w:r>
      <w:r w:rsidRPr="00C96390">
        <w:rPr>
          <w:rFonts w:ascii="Times New Roman" w:hAnsi="Times New Roman"/>
          <w:sz w:val="24"/>
          <w:szCs w:val="24"/>
        </w:rPr>
        <w:t>).</w:t>
      </w:r>
      <w:r w:rsidRPr="00C96390">
        <w:t xml:space="preserve"> </w:t>
      </w:r>
      <w:r w:rsidRPr="00C96390">
        <w:rPr>
          <w:rFonts w:ascii="Times New Roman" w:hAnsi="Times New Roman"/>
          <w:sz w:val="24"/>
          <w:szCs w:val="24"/>
        </w:rPr>
        <w:t xml:space="preserve">Lai šādu ierobežojumu atzītu par pienācīgā kārtībā pieņemtu, attiecīgajam teritorijas attīstības plānošanas dokumentam jābūt izstrādātam, ievērojot TAPL un no tā izrietošajos Ministru kabineta noteikumos noteikto izstrādes kārtību, kas ietver arī saņemto priekšlikumu izvērtēšanu un argumentācijas sniegšanu noraidījuma gadījumā. </w:t>
      </w:r>
      <w:r w:rsidR="00B959BC" w:rsidRPr="00C96390">
        <w:rPr>
          <w:rFonts w:ascii="Times New Roman" w:hAnsi="Times New Roman"/>
          <w:sz w:val="24"/>
          <w:szCs w:val="24"/>
        </w:rPr>
        <w:t>Kā atzīmēts Vides pārraudzības valsts biroja (turpmāk – Birojs) 2016.gada 21.marta atzinuma Nr.2 „Par Jūrmalas pilsētas teritorijas plānojuma grozījumu Vides pārskatu” rekomendāciju 4.punktā, plānojuma apstiprināšana nevar dot tiesisko paļāvību to darbību realizācijas iespējamībai, kurām stratēģiskā ietekmes uz vidi novērtējumā konstatēta iespējama būtiska/negatīva ietekme uz vidi vai īpaši aizsargājamām dabas teritorijām.</w:t>
      </w:r>
    </w:p>
    <w:p w:rsidR="00B959BC" w:rsidRPr="00C96390" w:rsidRDefault="00B959BC" w:rsidP="00C96390">
      <w:pPr>
        <w:spacing w:after="0"/>
        <w:jc w:val="both"/>
        <w:rPr>
          <w:rFonts w:ascii="Times New Roman" w:hAnsi="Times New Roman"/>
          <w:sz w:val="24"/>
          <w:szCs w:val="24"/>
        </w:rPr>
      </w:pPr>
      <w:r w:rsidRPr="00C96390">
        <w:rPr>
          <w:rFonts w:ascii="Times New Roman" w:hAnsi="Times New Roman"/>
          <w:sz w:val="24"/>
          <w:szCs w:val="24"/>
        </w:rPr>
        <w:tab/>
      </w:r>
      <w:r w:rsidR="007B0E3C" w:rsidRPr="00C96390">
        <w:rPr>
          <w:rFonts w:ascii="Times New Roman" w:hAnsi="Times New Roman"/>
          <w:sz w:val="24"/>
          <w:szCs w:val="24"/>
        </w:rPr>
        <w:t>Birojs ir identificējis riskus teritorijās, kur atrodas īpaši aizsargājamie biotopi un priežu meži un plānota funkcionālā zonējuma maiņa. Biroja ieskatā</w:t>
      </w:r>
      <w:r w:rsidR="004825BC" w:rsidRPr="00C96390">
        <w:rPr>
          <w:rFonts w:ascii="Times New Roman" w:hAnsi="Times New Roman"/>
          <w:sz w:val="24"/>
          <w:szCs w:val="24"/>
        </w:rPr>
        <w:t>,</w:t>
      </w:r>
      <w:r w:rsidR="007B0E3C" w:rsidRPr="00C96390">
        <w:rPr>
          <w:rFonts w:ascii="Times New Roman" w:hAnsi="Times New Roman"/>
          <w:sz w:val="24"/>
          <w:szCs w:val="24"/>
        </w:rPr>
        <w:t xml:space="preserve"> pašvaldībai</w:t>
      </w:r>
      <w:r w:rsidR="004825BC" w:rsidRPr="00C96390">
        <w:rPr>
          <w:rFonts w:ascii="Times New Roman" w:hAnsi="Times New Roman"/>
          <w:sz w:val="24"/>
          <w:szCs w:val="24"/>
        </w:rPr>
        <w:t>,</w:t>
      </w:r>
      <w:r w:rsidR="007B0E3C" w:rsidRPr="00C96390">
        <w:rPr>
          <w:rFonts w:ascii="Times New Roman" w:hAnsi="Times New Roman"/>
          <w:sz w:val="24"/>
          <w:szCs w:val="24"/>
        </w:rPr>
        <w:t xml:space="preserve"> lemjot par šo teritoriju apbūvi, ir detalizētāk jāizvērtē dabas sociāli ekonomiskie apsvērumi, jo pašreizējais tvērums ļauj identificēt negatīvu ietekmju iespējamību, bet ne to nozīmīgumu un samazināšanas pasākumu efektivitāti. </w:t>
      </w:r>
    </w:p>
    <w:p w:rsidR="00857F03" w:rsidRPr="00C96390" w:rsidRDefault="00B959BC" w:rsidP="00C96390">
      <w:pPr>
        <w:tabs>
          <w:tab w:val="left" w:pos="426"/>
        </w:tabs>
        <w:spacing w:after="0"/>
        <w:jc w:val="both"/>
        <w:rPr>
          <w:rFonts w:ascii="Times New Roman" w:hAnsi="Times New Roman"/>
          <w:sz w:val="24"/>
          <w:szCs w:val="24"/>
        </w:rPr>
      </w:pPr>
      <w:r w:rsidRPr="00C96390">
        <w:rPr>
          <w:rFonts w:ascii="Times New Roman" w:hAnsi="Times New Roman"/>
          <w:sz w:val="24"/>
          <w:szCs w:val="24"/>
        </w:rPr>
        <w:tab/>
      </w:r>
      <w:r w:rsidRPr="00C96390">
        <w:rPr>
          <w:rFonts w:ascii="Times New Roman" w:hAnsi="Times New Roman"/>
          <w:sz w:val="24"/>
          <w:szCs w:val="24"/>
        </w:rPr>
        <w:tab/>
      </w:r>
      <w:r w:rsidR="0012346F" w:rsidRPr="00C96390">
        <w:rPr>
          <w:rFonts w:ascii="Times New Roman" w:hAnsi="Times New Roman"/>
          <w:sz w:val="24"/>
          <w:szCs w:val="24"/>
        </w:rPr>
        <w:t>Saņemot konkrētus attīstības priekšlikumus, l</w:t>
      </w:r>
      <w:r w:rsidRPr="00C96390">
        <w:rPr>
          <w:rFonts w:ascii="Times New Roman" w:hAnsi="Times New Roman"/>
          <w:sz w:val="24"/>
          <w:szCs w:val="24"/>
        </w:rPr>
        <w:t xml:space="preserve">ūdzam </w:t>
      </w:r>
      <w:r w:rsidR="0012346F" w:rsidRPr="00C96390">
        <w:rPr>
          <w:rFonts w:ascii="Times New Roman" w:hAnsi="Times New Roman"/>
          <w:sz w:val="24"/>
          <w:szCs w:val="24"/>
        </w:rPr>
        <w:t>pašvaldību</w:t>
      </w:r>
      <w:r w:rsidRPr="00C96390">
        <w:rPr>
          <w:rFonts w:ascii="Times New Roman" w:hAnsi="Times New Roman"/>
          <w:sz w:val="24"/>
          <w:szCs w:val="24"/>
        </w:rPr>
        <w:t xml:space="preserve"> nodrošināt Aizsargjoslu </w:t>
      </w:r>
      <w:r w:rsidRPr="00C96390">
        <w:rPr>
          <w:rFonts w:ascii="Times New Roman" w:hAnsi="Times New Roman"/>
          <w:sz w:val="24"/>
          <w:szCs w:val="24"/>
        </w:rPr>
        <w:lastRenderedPageBreak/>
        <w:t>likumam, likumam „Par ietekmes uz vidi novērtējumu”, Ministru kabineta 2004.gada 10.augusta noteikumiem Nr.702 „Dabas parka "Ragakāpa" individuālie aizsardzības un izmantošanas noteikumi” un citiem normatīvajiem aktiem atbilstoš</w:t>
      </w:r>
      <w:r w:rsidR="00C13906" w:rsidRPr="00C96390">
        <w:rPr>
          <w:rFonts w:ascii="Times New Roman" w:hAnsi="Times New Roman"/>
          <w:sz w:val="24"/>
          <w:szCs w:val="24"/>
        </w:rPr>
        <w:t>u</w:t>
      </w:r>
      <w:r w:rsidRPr="00C96390">
        <w:rPr>
          <w:rFonts w:ascii="Times New Roman" w:hAnsi="Times New Roman"/>
          <w:sz w:val="24"/>
          <w:szCs w:val="24"/>
        </w:rPr>
        <w:t xml:space="preserve"> rīcīb</w:t>
      </w:r>
      <w:r w:rsidR="00C13906" w:rsidRPr="00C96390">
        <w:rPr>
          <w:rFonts w:ascii="Times New Roman" w:hAnsi="Times New Roman"/>
          <w:sz w:val="24"/>
          <w:szCs w:val="24"/>
        </w:rPr>
        <w:t>u</w:t>
      </w:r>
      <w:r w:rsidRPr="00C96390">
        <w:rPr>
          <w:rFonts w:ascii="Times New Roman" w:hAnsi="Times New Roman"/>
          <w:sz w:val="24"/>
          <w:szCs w:val="24"/>
        </w:rPr>
        <w:t>, kā arī ņemt vērā Biroja atzinumā par Vides pārskatu minētos secinājumus un rekomendācijas</w:t>
      </w:r>
      <w:r w:rsidR="0012346F" w:rsidRPr="00C96390">
        <w:rPr>
          <w:rFonts w:ascii="Times New Roman" w:hAnsi="Times New Roman"/>
          <w:sz w:val="24"/>
          <w:szCs w:val="24"/>
        </w:rPr>
        <w:t xml:space="preserve"> tajās teritorijās, kurās ar Jūrmalas TPG ir mainīti 2012.gadā apstiprinātā Jūrmalas pilsētas teritorijas plānojumā noteiktā funkcionālā zona, teritorijas izmantošanas veidi vai apbūves parametri</w:t>
      </w:r>
      <w:r w:rsidRPr="00C96390">
        <w:rPr>
          <w:rFonts w:ascii="Times New Roman" w:hAnsi="Times New Roman"/>
          <w:sz w:val="24"/>
          <w:szCs w:val="24"/>
        </w:rPr>
        <w:t>.</w:t>
      </w:r>
    </w:p>
    <w:p w:rsidR="008C2390" w:rsidRPr="00C96390" w:rsidRDefault="008C2390" w:rsidP="00C96390">
      <w:pPr>
        <w:tabs>
          <w:tab w:val="left" w:pos="426"/>
        </w:tabs>
        <w:spacing w:after="0"/>
        <w:ind w:firstLine="851"/>
        <w:jc w:val="both"/>
        <w:rPr>
          <w:rFonts w:ascii="Times New Roman" w:hAnsi="Times New Roman"/>
          <w:sz w:val="24"/>
          <w:szCs w:val="24"/>
        </w:rPr>
      </w:pPr>
      <w:r w:rsidRPr="00C96390">
        <w:rPr>
          <w:rFonts w:ascii="Times New Roman" w:hAnsi="Times New Roman"/>
          <w:sz w:val="24"/>
          <w:szCs w:val="24"/>
        </w:rPr>
        <w:t xml:space="preserve">TAPL 2.pantā ir noteikts likuma mērķis, proti, </w:t>
      </w:r>
      <w:bookmarkStart w:id="3" w:name="p2"/>
      <w:bookmarkStart w:id="4" w:name="p-412341"/>
      <w:bookmarkEnd w:id="3"/>
      <w:bookmarkEnd w:id="4"/>
      <w:r w:rsidRPr="00C96390">
        <w:rPr>
          <w:rFonts w:ascii="Times New Roman" w:hAnsi="Times New Roman"/>
          <w:sz w:val="24"/>
          <w:szCs w:val="24"/>
        </w:rPr>
        <w:t>likuma mērķis ir panākt, ka teritorijas attīstība tiek plānota tā, lai varētu paaugstināt dzīves vides kvalitāti, ilgtspējīgi, efektīvi un racionāli izmantot teritoriju un citus resursus, kā arī mērķtiecīgi un līdzsvaroti attīstīt ekonomiku.</w:t>
      </w:r>
    </w:p>
    <w:p w:rsidR="008C2390" w:rsidRPr="00C96390" w:rsidRDefault="008C2390" w:rsidP="00C96390">
      <w:pPr>
        <w:tabs>
          <w:tab w:val="left" w:pos="426"/>
        </w:tabs>
        <w:spacing w:after="0"/>
        <w:ind w:firstLine="851"/>
        <w:jc w:val="both"/>
        <w:rPr>
          <w:rFonts w:ascii="Times New Roman" w:hAnsi="Times New Roman"/>
          <w:sz w:val="24"/>
          <w:szCs w:val="24"/>
        </w:rPr>
      </w:pPr>
      <w:r w:rsidRPr="00C96390">
        <w:rPr>
          <w:rFonts w:ascii="Times New Roman" w:hAnsi="Times New Roman"/>
          <w:sz w:val="24"/>
          <w:szCs w:val="24"/>
        </w:rPr>
        <w:t>Vispārīgas personas tiesību uz informāciju garantijas izriet gan no Orhūsas konvencijas, gan Vides aizsardzības likuma Orhūsas konvencijas atbilstības komiteja ir atzinusi, ka lēmumi, kas skar teritorijas izmantošanu un zemes zonējuma maiņu ietilpst Orhūsas konvencijas 7.pantā lietotajā jēdzienā “plāni”. Tāpēc neatkarīgi no šādu lēmumu juridiskā statusa sabiedrībai ir nodrošināma informācija par šiem lēmumiem un to pieņemšanas procesu. Speciālās tiesību normas šajā jautājumā satur TAPL un Ministru kabineta noteikumi</w:t>
      </w:r>
      <w:r w:rsidR="00D13CC3" w:rsidRPr="00C96390">
        <w:rPr>
          <w:rStyle w:val="af7"/>
          <w:rFonts w:ascii="Times New Roman" w:hAnsi="Times New Roman"/>
          <w:sz w:val="24"/>
          <w:szCs w:val="24"/>
        </w:rPr>
        <w:footnoteReference w:id="1"/>
      </w:r>
      <w:r w:rsidRPr="00C96390">
        <w:rPr>
          <w:rFonts w:ascii="Times New Roman" w:hAnsi="Times New Roman"/>
          <w:sz w:val="24"/>
          <w:szCs w:val="24"/>
        </w:rPr>
        <w:t>.</w:t>
      </w:r>
    </w:p>
    <w:p w:rsidR="00D13CC3" w:rsidRPr="00C96390" w:rsidRDefault="00D13CC3" w:rsidP="00C96390">
      <w:pPr>
        <w:tabs>
          <w:tab w:val="left" w:pos="426"/>
        </w:tabs>
        <w:spacing w:after="0"/>
        <w:ind w:firstLine="851"/>
        <w:jc w:val="both"/>
        <w:rPr>
          <w:rFonts w:ascii="Times New Roman" w:hAnsi="Times New Roman"/>
          <w:sz w:val="24"/>
          <w:szCs w:val="24"/>
        </w:rPr>
      </w:pPr>
      <w:r w:rsidRPr="00C96390">
        <w:rPr>
          <w:rFonts w:ascii="Times New Roman" w:hAnsi="Times New Roman"/>
          <w:sz w:val="24"/>
          <w:szCs w:val="24"/>
        </w:rPr>
        <w:t xml:space="preserve">Izvērtējot visu pieejamo informāciju un saņemtos iesniegumus par Jūrmalas TPG apstrīdēšanu, būtiski izstrādes procedūras pārkāpumi netika konstatēti.  Taču </w:t>
      </w:r>
      <w:r w:rsidR="00C13906" w:rsidRPr="00C96390">
        <w:rPr>
          <w:rFonts w:ascii="Times New Roman" w:hAnsi="Times New Roman"/>
          <w:sz w:val="24"/>
          <w:szCs w:val="24"/>
        </w:rPr>
        <w:t>spriežot pēc pašvaldības sniegtajām rakstiskajām atbildēm uz</w:t>
      </w:r>
      <w:r w:rsidRPr="00C96390">
        <w:rPr>
          <w:rFonts w:ascii="Times New Roman" w:hAnsi="Times New Roman"/>
          <w:sz w:val="24"/>
          <w:szCs w:val="24"/>
        </w:rPr>
        <w:t xml:space="preserve"> iedzīvotāju jautājumiem un priekšlikumiem</w:t>
      </w:r>
      <w:r w:rsidR="00C13906" w:rsidRPr="00C96390">
        <w:rPr>
          <w:rFonts w:ascii="Times New Roman" w:hAnsi="Times New Roman"/>
          <w:sz w:val="24"/>
          <w:szCs w:val="24"/>
        </w:rPr>
        <w:t xml:space="preserve">, ir secināms, ka tās </w:t>
      </w:r>
      <w:r w:rsidRPr="00C96390">
        <w:rPr>
          <w:rFonts w:ascii="Times New Roman" w:hAnsi="Times New Roman"/>
          <w:sz w:val="24"/>
          <w:szCs w:val="24"/>
        </w:rPr>
        <w:t xml:space="preserve">ir formālas un tajās nav doti pietiekoši skaidri argumenti izvēlētā risinājuma pamatojumam, kā arī </w:t>
      </w:r>
      <w:r w:rsidR="004825BC" w:rsidRPr="00C96390">
        <w:rPr>
          <w:rFonts w:ascii="Times New Roman" w:hAnsi="Times New Roman"/>
          <w:sz w:val="24"/>
          <w:szCs w:val="24"/>
        </w:rPr>
        <w:t xml:space="preserve">nav </w:t>
      </w:r>
      <w:r w:rsidRPr="00C96390">
        <w:rPr>
          <w:rFonts w:ascii="Times New Roman" w:hAnsi="Times New Roman"/>
          <w:sz w:val="24"/>
          <w:szCs w:val="24"/>
        </w:rPr>
        <w:t xml:space="preserve">gūta pārliecība par sniegtās informācijas lietderību un atbilstošu izvērtēšanu ar sabiedrības interesēm kopumā. </w:t>
      </w:r>
      <w:r w:rsidR="007931A0" w:rsidRPr="00C96390">
        <w:rPr>
          <w:rFonts w:ascii="Times New Roman" w:hAnsi="Times New Roman"/>
          <w:sz w:val="24"/>
          <w:szCs w:val="24"/>
        </w:rPr>
        <w:t xml:space="preserve">Ņemot vērā minēto, norādām, ka ministrijai neradās priekšstats, ka sniegtās atbildes ir izvērsti motivētas. Daudzviet atbildes aprobežojās ar vispārīgu situācijas konstatējumu, neatbildot uz iebildumiem pēc būtības. </w:t>
      </w:r>
      <w:r w:rsidR="00C13906" w:rsidRPr="00C96390">
        <w:rPr>
          <w:rFonts w:ascii="Times New Roman" w:hAnsi="Times New Roman"/>
          <w:sz w:val="24"/>
          <w:szCs w:val="24"/>
        </w:rPr>
        <w:t>Š</w:t>
      </w:r>
      <w:r w:rsidR="007931A0" w:rsidRPr="00C96390">
        <w:rPr>
          <w:rFonts w:ascii="Times New Roman" w:hAnsi="Times New Roman"/>
          <w:sz w:val="24"/>
          <w:szCs w:val="24"/>
        </w:rPr>
        <w:t>āda prakse</w:t>
      </w:r>
      <w:r w:rsidR="00A233B9" w:rsidRPr="00C96390">
        <w:rPr>
          <w:rFonts w:ascii="Times New Roman" w:hAnsi="Times New Roman"/>
          <w:sz w:val="24"/>
          <w:szCs w:val="24"/>
        </w:rPr>
        <w:t xml:space="preserve"> neveicina personu uzticību pašvaldības izstrādātājiem teritorijas attīstības risinājumiem</w:t>
      </w:r>
      <w:r w:rsidR="00AC2F32" w:rsidRPr="00C96390">
        <w:rPr>
          <w:rFonts w:ascii="Times New Roman" w:hAnsi="Times New Roman"/>
          <w:sz w:val="24"/>
          <w:szCs w:val="24"/>
        </w:rPr>
        <w:t xml:space="preserve"> (sk. Satversmes tiesas spriedumus par teritorijas plānošanu)</w:t>
      </w:r>
      <w:r w:rsidR="00A233B9" w:rsidRPr="00C96390">
        <w:rPr>
          <w:rFonts w:ascii="Times New Roman" w:hAnsi="Times New Roman"/>
          <w:sz w:val="24"/>
          <w:szCs w:val="24"/>
        </w:rPr>
        <w:t>.</w:t>
      </w:r>
    </w:p>
    <w:p w:rsidR="00A233B9" w:rsidRPr="00C96390" w:rsidRDefault="00A233B9" w:rsidP="00C96390">
      <w:pPr>
        <w:tabs>
          <w:tab w:val="left" w:pos="426"/>
        </w:tabs>
        <w:spacing w:after="0"/>
        <w:ind w:firstLine="851"/>
        <w:jc w:val="both"/>
        <w:rPr>
          <w:rFonts w:ascii="Times New Roman" w:hAnsi="Times New Roman"/>
          <w:sz w:val="24"/>
          <w:szCs w:val="24"/>
        </w:rPr>
      </w:pPr>
      <w:r w:rsidRPr="00C96390">
        <w:rPr>
          <w:rFonts w:ascii="Times New Roman" w:hAnsi="Times New Roman"/>
          <w:sz w:val="24"/>
          <w:szCs w:val="24"/>
        </w:rPr>
        <w:t>Vienlaikus ministrija vērš uzmanību uz to, ka atbildes nesniegšana pēc būtības pārkāpj labas pārvaldības principus.</w:t>
      </w:r>
    </w:p>
    <w:p w:rsidR="00716AC1" w:rsidRPr="00C96390" w:rsidRDefault="00716AC1" w:rsidP="00C96390">
      <w:pPr>
        <w:pStyle w:val="tv213"/>
        <w:shd w:val="clear" w:color="auto" w:fill="FFFFFF"/>
        <w:spacing w:before="0" w:beforeAutospacing="0" w:after="0" w:afterAutospacing="0" w:line="276" w:lineRule="auto"/>
        <w:ind w:firstLine="900"/>
        <w:jc w:val="both"/>
        <w:rPr>
          <w:rFonts w:ascii="Times New Roman" w:hAnsi="Times New Roman"/>
          <w:sz w:val="24"/>
          <w:szCs w:val="24"/>
          <w:lang w:val="lv-LV"/>
        </w:rPr>
      </w:pPr>
      <w:r w:rsidRPr="00C96390">
        <w:rPr>
          <w:rFonts w:ascii="Times New Roman" w:hAnsi="Times New Roman"/>
          <w:sz w:val="24"/>
          <w:szCs w:val="24"/>
          <w:lang w:val="lv-LV"/>
        </w:rPr>
        <w:t>TAPL 4.pants noteic s</w:t>
      </w:r>
      <w:r w:rsidRPr="00C96390">
        <w:rPr>
          <w:rFonts w:ascii="Times New Roman" w:hAnsi="Times New Roman"/>
          <w:bCs/>
          <w:sz w:val="24"/>
          <w:szCs w:val="24"/>
          <w:lang w:val="lv-LV"/>
        </w:rPr>
        <w:t>abiedrības līdzdalības teritorijas attīstības plānošanā regulējumu. Proti, minētā panta pirmā daļa noteic, ka t</w:t>
      </w:r>
      <w:r w:rsidRPr="00C96390">
        <w:rPr>
          <w:rFonts w:ascii="Times New Roman" w:hAnsi="Times New Roman"/>
          <w:sz w:val="24"/>
          <w:szCs w:val="24"/>
          <w:lang w:val="lv-LV"/>
        </w:rPr>
        <w:t>eritorijas attīstību plāno, iesaistot sabiedrību. Plānošanas līmenim atbilstošai institūcijai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rsidR="00716AC1" w:rsidRPr="00C96390" w:rsidRDefault="00716AC1" w:rsidP="00C96390">
      <w:pPr>
        <w:pStyle w:val="tv213"/>
        <w:shd w:val="clear" w:color="auto" w:fill="FFFFFF"/>
        <w:spacing w:before="0" w:beforeAutospacing="0" w:after="0" w:afterAutospacing="0" w:line="276" w:lineRule="auto"/>
        <w:ind w:firstLine="900"/>
        <w:jc w:val="both"/>
        <w:rPr>
          <w:rFonts w:ascii="Arial" w:hAnsi="Arial" w:cs="Arial"/>
          <w:lang w:val="lv-LV"/>
        </w:rPr>
      </w:pPr>
      <w:r w:rsidRPr="00C96390">
        <w:rPr>
          <w:rFonts w:ascii="Times New Roman" w:hAnsi="Times New Roman"/>
          <w:sz w:val="24"/>
          <w:szCs w:val="24"/>
          <w:lang w:val="lv-LV"/>
        </w:rPr>
        <w:t xml:space="preserve">Savukārt, minētā panta otrā daļa noteic, ka sabiedrības līdzdalību teritorijas attīstības plānošanā atbilstoši plānošanas līmenim nodrošina attiecīgā valsts institūcija, plānošanas reģions vai vietējā pašvaldība </w:t>
      </w:r>
      <w:r w:rsidRPr="00C96390">
        <w:rPr>
          <w:rFonts w:ascii="Times New Roman" w:hAnsi="Times New Roman"/>
          <w:sz w:val="24"/>
          <w:szCs w:val="24"/>
          <w:u w:val="single"/>
          <w:lang w:val="lv-LV"/>
        </w:rPr>
        <w:t>saskaņā ar normatīvajiem aktiem, kuros noteiktas prasības sabiedrības līdzdalībai.</w:t>
      </w:r>
    </w:p>
    <w:p w:rsidR="00716AC1" w:rsidRPr="00C96390" w:rsidRDefault="00716AC1" w:rsidP="00C96390">
      <w:pPr>
        <w:pStyle w:val="tv213"/>
        <w:shd w:val="clear" w:color="auto" w:fill="FFFFFF"/>
        <w:spacing w:before="0" w:beforeAutospacing="0" w:after="0" w:afterAutospacing="0" w:line="276" w:lineRule="auto"/>
        <w:ind w:firstLine="900"/>
        <w:jc w:val="both"/>
        <w:rPr>
          <w:rFonts w:ascii="Times New Roman" w:hAnsi="Times New Roman"/>
          <w:sz w:val="24"/>
          <w:szCs w:val="24"/>
          <w:lang w:val="lv-LV"/>
        </w:rPr>
      </w:pPr>
      <w:r w:rsidRPr="00C96390">
        <w:rPr>
          <w:rFonts w:ascii="Times New Roman" w:hAnsi="Times New Roman"/>
          <w:sz w:val="24"/>
          <w:szCs w:val="24"/>
          <w:lang w:val="lv-LV"/>
        </w:rPr>
        <w:t xml:space="preserve">Vienlaikus ir jāņem vērā panta ceturto daļu, kas paredz, ka sabiedrības līdzdalības procesā līdzsvaro privātpersonu un sabiedrības intereses ar teritorijas ilgtspējīgas attīstības iespējām un it īpaši sesto daļu, kas noteic, ka </w:t>
      </w:r>
      <w:r w:rsidR="00765469" w:rsidRPr="00C96390">
        <w:rPr>
          <w:rFonts w:ascii="Times New Roman" w:hAnsi="Times New Roman"/>
          <w:sz w:val="24"/>
          <w:szCs w:val="24"/>
          <w:lang w:val="lv-LV"/>
        </w:rPr>
        <w:t>š</w:t>
      </w:r>
      <w:r w:rsidRPr="00C96390">
        <w:rPr>
          <w:rFonts w:ascii="Times New Roman" w:hAnsi="Times New Roman"/>
          <w:sz w:val="24"/>
          <w:szCs w:val="24"/>
          <w:lang w:val="lv-LV"/>
        </w:rPr>
        <w:t xml:space="preserve">ā panta otrajā daļā minētajām institūcijām, izstrādājot teritorijas attīstības plānošanas dokumentus, ir pienākums līdzsvaroti izvērtēt izteiktos priekšlikumus un </w:t>
      </w:r>
      <w:r w:rsidRPr="00C96390">
        <w:rPr>
          <w:rFonts w:ascii="Times New Roman" w:hAnsi="Times New Roman"/>
          <w:b/>
          <w:sz w:val="24"/>
          <w:szCs w:val="24"/>
          <w:lang w:val="lv-LV"/>
        </w:rPr>
        <w:t>savus lēmumus pamatot</w:t>
      </w:r>
      <w:r w:rsidRPr="00C96390">
        <w:rPr>
          <w:rFonts w:ascii="Times New Roman" w:hAnsi="Times New Roman"/>
          <w:sz w:val="24"/>
          <w:szCs w:val="24"/>
          <w:lang w:val="lv-LV"/>
        </w:rPr>
        <w:t>, kā arī paziņot tos sabiedrībai un priekšlikumu iesniedzējiem.</w:t>
      </w:r>
    </w:p>
    <w:p w:rsidR="00F74877" w:rsidRPr="00C96390" w:rsidRDefault="00F74877" w:rsidP="00C96390">
      <w:pPr>
        <w:spacing w:after="0"/>
        <w:ind w:firstLine="720"/>
        <w:jc w:val="both"/>
        <w:rPr>
          <w:rFonts w:ascii="Times New Roman" w:hAnsi="Times New Roman"/>
          <w:sz w:val="24"/>
          <w:szCs w:val="24"/>
        </w:rPr>
      </w:pPr>
      <w:r w:rsidRPr="00C96390">
        <w:rPr>
          <w:rFonts w:ascii="Times New Roman" w:hAnsi="Times New Roman"/>
          <w:sz w:val="24"/>
          <w:szCs w:val="24"/>
        </w:rPr>
        <w:lastRenderedPageBreak/>
        <w:t>TAPL 3.pantā ir noteikti teritorijas attīstības plānošanas principi, tostarp vienlīdzīgu iespēju princips, kas no</w:t>
      </w:r>
      <w:r w:rsidR="00AC2F32" w:rsidRPr="00C96390">
        <w:rPr>
          <w:rFonts w:ascii="Times New Roman" w:hAnsi="Times New Roman"/>
          <w:sz w:val="24"/>
          <w:szCs w:val="24"/>
        </w:rPr>
        <w:t>teic</w:t>
      </w:r>
      <w:r w:rsidR="0085193E" w:rsidRPr="00C96390">
        <w:rPr>
          <w:rFonts w:ascii="Times New Roman" w:hAnsi="Times New Roman"/>
          <w:sz w:val="24"/>
          <w:szCs w:val="24"/>
        </w:rPr>
        <w:t>,</w:t>
      </w:r>
      <w:r w:rsidRPr="00C96390">
        <w:rPr>
          <w:rFonts w:ascii="Times New Roman" w:hAnsi="Times New Roman"/>
          <w:sz w:val="24"/>
          <w:szCs w:val="24"/>
        </w:rPr>
        <w:t xml:space="preserve"> ka arī privātpersonu un sabiedrības intereses tiek vērtētas kopsakarībā ar mērķi veicināt attiecīgās teritorijas ilgtspējīgu attīstību</w:t>
      </w:r>
      <w:r w:rsidR="0085193E" w:rsidRPr="00C96390">
        <w:rPr>
          <w:rFonts w:ascii="Times New Roman" w:hAnsi="Times New Roman"/>
          <w:sz w:val="24"/>
          <w:szCs w:val="24"/>
        </w:rPr>
        <w:t>, kā arī atklātības princips, kas nosaka, ka teritorijas attīstības plānošanā un dokumentu izstrādē iesaista sabiedrību. Taču lielais saņemto iebildumu skaits nerada pārliecību, ka izstrādājot Jūrmalas TPG, pašvaldību būtu konsekventi vadījusies pēc šiem principiem.</w:t>
      </w:r>
    </w:p>
    <w:p w:rsidR="00AC2F32" w:rsidRPr="00C96390" w:rsidRDefault="00AC2F32" w:rsidP="00C96390">
      <w:pPr>
        <w:pStyle w:val="tv213"/>
        <w:shd w:val="clear" w:color="auto" w:fill="FFFFFF"/>
        <w:spacing w:before="0" w:beforeAutospacing="0" w:after="0" w:afterAutospacing="0" w:line="276" w:lineRule="auto"/>
        <w:ind w:firstLine="900"/>
        <w:jc w:val="both"/>
        <w:rPr>
          <w:rFonts w:ascii="Times New Roman" w:hAnsi="Times New Roman"/>
          <w:sz w:val="24"/>
          <w:szCs w:val="24"/>
          <w:lang w:val="lv-LV"/>
        </w:rPr>
      </w:pPr>
      <w:r w:rsidRPr="00C96390">
        <w:rPr>
          <w:rFonts w:ascii="Times New Roman" w:hAnsi="Times New Roman"/>
          <w:sz w:val="24"/>
          <w:szCs w:val="24"/>
          <w:lang w:val="lv-LV"/>
        </w:rPr>
        <w:t>Ministrija ir konstatējusi, ka nav ievērots līdzsvars starp privātpersonu un sabiedrības interesēm un nav sniegts pamatojums priekšlikumu noraidīšanai.</w:t>
      </w:r>
    </w:p>
    <w:p w:rsidR="00AC2F32" w:rsidRPr="00C96390" w:rsidRDefault="00AC2F32" w:rsidP="00C96390">
      <w:pPr>
        <w:tabs>
          <w:tab w:val="left" w:pos="426"/>
        </w:tabs>
        <w:spacing w:after="0"/>
        <w:ind w:firstLine="851"/>
        <w:jc w:val="both"/>
        <w:rPr>
          <w:rFonts w:ascii="Times New Roman" w:hAnsi="Times New Roman"/>
          <w:sz w:val="24"/>
          <w:szCs w:val="24"/>
        </w:rPr>
      </w:pPr>
      <w:r w:rsidRPr="00C96390">
        <w:rPr>
          <w:rFonts w:ascii="Times New Roman" w:hAnsi="Times New Roman"/>
          <w:sz w:val="24"/>
          <w:szCs w:val="24"/>
        </w:rPr>
        <w:t>Ņemot vērā minēto, ministrija lūdz ievērot normatīvajos aktos noteiktu kārtību par sabiedrības interešu līdzsvarošanu un atbilžu pamatošanu.</w:t>
      </w:r>
    </w:p>
    <w:p w:rsidR="00AC2F32" w:rsidRPr="00C96390" w:rsidRDefault="00AC2F32" w:rsidP="00C96390">
      <w:pPr>
        <w:spacing w:after="0"/>
        <w:jc w:val="both"/>
        <w:rPr>
          <w:rFonts w:ascii="Times New Roman" w:hAnsi="Times New Roman"/>
          <w:sz w:val="24"/>
          <w:szCs w:val="24"/>
        </w:rPr>
      </w:pPr>
    </w:p>
    <w:p w:rsidR="00F74877" w:rsidRPr="00C96390" w:rsidRDefault="00F74877" w:rsidP="000D6CBB">
      <w:pPr>
        <w:spacing w:after="0" w:line="240" w:lineRule="auto"/>
        <w:jc w:val="both"/>
        <w:rPr>
          <w:rFonts w:ascii="Times New Roman" w:hAnsi="Times New Roman"/>
          <w:sz w:val="24"/>
          <w:szCs w:val="24"/>
        </w:rPr>
      </w:pPr>
    </w:p>
    <w:p w:rsidR="00F74877" w:rsidRPr="00C96390" w:rsidRDefault="00F74877" w:rsidP="000D6CBB">
      <w:pPr>
        <w:spacing w:after="0" w:line="240" w:lineRule="auto"/>
        <w:jc w:val="both"/>
        <w:rPr>
          <w:rFonts w:ascii="Times New Roman" w:hAnsi="Times New Roman"/>
          <w:sz w:val="24"/>
          <w:szCs w:val="24"/>
        </w:rPr>
      </w:pPr>
    </w:p>
    <w:p w:rsidR="00C4187B" w:rsidRPr="00C96390" w:rsidRDefault="00C4187B" w:rsidP="000D6CBB">
      <w:pPr>
        <w:spacing w:after="0" w:line="240" w:lineRule="auto"/>
        <w:ind w:firstLine="720"/>
        <w:jc w:val="both"/>
        <w:rPr>
          <w:rFonts w:ascii="Times New Roman" w:hAnsi="Times New Roman"/>
          <w:b/>
          <w:sz w:val="24"/>
          <w:szCs w:val="24"/>
        </w:rPr>
      </w:pPr>
      <w:r w:rsidRPr="00C96390">
        <w:rPr>
          <w:rFonts w:ascii="Times New Roman" w:hAnsi="Times New Roman"/>
          <w:b/>
          <w:sz w:val="24"/>
          <w:szCs w:val="24"/>
        </w:rPr>
        <w:t>2.</w:t>
      </w:r>
      <w:r w:rsidR="007931A0" w:rsidRPr="00C96390">
        <w:rPr>
          <w:rFonts w:ascii="Times New Roman" w:hAnsi="Times New Roman"/>
          <w:b/>
          <w:sz w:val="24"/>
          <w:szCs w:val="24"/>
        </w:rPr>
        <w:t xml:space="preserve"> </w:t>
      </w:r>
      <w:r w:rsidRPr="00C96390">
        <w:rPr>
          <w:rFonts w:ascii="Times New Roman" w:hAnsi="Times New Roman"/>
          <w:b/>
          <w:sz w:val="24"/>
          <w:szCs w:val="24"/>
        </w:rPr>
        <w:t xml:space="preserve">Izvērtējot Jūrmalas TPG </w:t>
      </w:r>
      <w:r w:rsidR="0012346F" w:rsidRPr="00C96390">
        <w:rPr>
          <w:rFonts w:ascii="Times New Roman" w:hAnsi="Times New Roman"/>
          <w:b/>
          <w:sz w:val="24"/>
          <w:szCs w:val="24"/>
        </w:rPr>
        <w:t xml:space="preserve">satura </w:t>
      </w:r>
      <w:r w:rsidRPr="00C96390">
        <w:rPr>
          <w:rFonts w:ascii="Times New Roman" w:hAnsi="Times New Roman"/>
          <w:b/>
          <w:sz w:val="24"/>
          <w:szCs w:val="24"/>
        </w:rPr>
        <w:t>atbilstību normatīvo aktu prasībām, ministrija konstatēja sekojošo.</w:t>
      </w:r>
    </w:p>
    <w:p w:rsidR="00F74877" w:rsidRPr="00C96390" w:rsidRDefault="00F74877" w:rsidP="000D6CBB">
      <w:pPr>
        <w:tabs>
          <w:tab w:val="left" w:pos="284"/>
        </w:tabs>
        <w:spacing w:after="0" w:line="240" w:lineRule="auto"/>
        <w:ind w:firstLine="709"/>
        <w:jc w:val="both"/>
        <w:rPr>
          <w:rFonts w:ascii="Times New Roman" w:hAnsi="Times New Roman"/>
          <w:sz w:val="24"/>
          <w:szCs w:val="24"/>
        </w:rPr>
      </w:pPr>
    </w:p>
    <w:p w:rsidR="00590397" w:rsidRPr="00C96390" w:rsidRDefault="00590397" w:rsidP="00C96390">
      <w:pPr>
        <w:tabs>
          <w:tab w:val="left" w:pos="284"/>
        </w:tabs>
        <w:spacing w:after="0"/>
        <w:ind w:firstLine="709"/>
        <w:jc w:val="both"/>
        <w:rPr>
          <w:rFonts w:ascii="Times New Roman" w:hAnsi="Times New Roman"/>
          <w:sz w:val="24"/>
          <w:szCs w:val="24"/>
        </w:rPr>
      </w:pPr>
      <w:r w:rsidRPr="00C96390">
        <w:rPr>
          <w:rFonts w:ascii="Times New Roman" w:hAnsi="Times New Roman"/>
          <w:sz w:val="24"/>
          <w:szCs w:val="24"/>
        </w:rPr>
        <w:t xml:space="preserve">Saskaņā ar </w:t>
      </w:r>
      <w:r w:rsidR="000A0827" w:rsidRPr="00C96390">
        <w:rPr>
          <w:rFonts w:ascii="Times New Roman" w:hAnsi="Times New Roman"/>
          <w:sz w:val="24"/>
          <w:szCs w:val="24"/>
        </w:rPr>
        <w:t xml:space="preserve">Jūrmalas TPG </w:t>
      </w:r>
      <w:r w:rsidRPr="00C96390">
        <w:rPr>
          <w:rFonts w:ascii="Times New Roman" w:hAnsi="Times New Roman"/>
          <w:sz w:val="24"/>
          <w:szCs w:val="24"/>
        </w:rPr>
        <w:t>darba uzdevumu viens no galvenajiem Jūrmalas TPG uzdevumiem bija saskaņot 2012.gadā apstiprinātajā Jūrmalas pilsētas teritorijas plānojumā noteiktās funkcionālās zonas un tajās atļautās izmantošanas</w:t>
      </w:r>
      <w:r w:rsidR="00F25433" w:rsidRPr="00C96390">
        <w:rPr>
          <w:rFonts w:ascii="Times New Roman" w:hAnsi="Times New Roman"/>
          <w:sz w:val="24"/>
          <w:szCs w:val="24"/>
        </w:rPr>
        <w:t xml:space="preserve"> veidus</w:t>
      </w:r>
      <w:r w:rsidRPr="00C96390">
        <w:rPr>
          <w:rFonts w:ascii="Times New Roman" w:hAnsi="Times New Roman"/>
          <w:sz w:val="24"/>
          <w:szCs w:val="24"/>
        </w:rPr>
        <w:t xml:space="preserve"> ar Ministru kabineta 2013.gada 30.aprīļa noteikumu Nr.240 „Vispārīgie teritorijas plānošanas, izmantošanas un apbūves noteikumi” (turpmāk – noteikumi Nr.240) prasībām. Jūrmalas TPG Paskaidrojuma rakstā </w:t>
      </w:r>
      <w:r w:rsidR="004825BC" w:rsidRPr="00C96390">
        <w:rPr>
          <w:rFonts w:ascii="Times New Roman" w:hAnsi="Times New Roman"/>
          <w:sz w:val="24"/>
          <w:szCs w:val="24"/>
        </w:rPr>
        <w:t xml:space="preserve">sniegts </w:t>
      </w:r>
      <w:r w:rsidRPr="00C96390">
        <w:rPr>
          <w:rFonts w:ascii="Times New Roman" w:hAnsi="Times New Roman"/>
          <w:sz w:val="24"/>
          <w:szCs w:val="24"/>
        </w:rPr>
        <w:t>izvērsts Jūrmalas pilsētas teritorijas plānojumā un noteikumos Nr.240 noteikto prasību salīdzinošs apkopojums, kurā redzams arī tas atļauto izmantošanu „grozs” katrā funkcionālajā zonā, ko pieļauj Jūrmalas TPG.</w:t>
      </w:r>
    </w:p>
    <w:p w:rsidR="002556FF" w:rsidRPr="00C96390" w:rsidRDefault="00833DFB" w:rsidP="00C96390">
      <w:pPr>
        <w:pStyle w:val="ae"/>
        <w:spacing w:line="276" w:lineRule="auto"/>
        <w:ind w:firstLine="851"/>
        <w:jc w:val="both"/>
        <w:rPr>
          <w:rFonts w:ascii="Times New Roman" w:hAnsi="Times New Roman"/>
          <w:sz w:val="24"/>
          <w:szCs w:val="24"/>
        </w:rPr>
      </w:pPr>
      <w:r w:rsidRPr="00C96390">
        <w:rPr>
          <w:rFonts w:ascii="Times New Roman" w:hAnsi="Times New Roman"/>
          <w:sz w:val="24"/>
          <w:szCs w:val="24"/>
        </w:rPr>
        <w:t>T</w:t>
      </w:r>
      <w:r w:rsidR="004825BC" w:rsidRPr="00C96390">
        <w:rPr>
          <w:rFonts w:ascii="Times New Roman" w:hAnsi="Times New Roman"/>
          <w:sz w:val="24"/>
          <w:szCs w:val="24"/>
        </w:rPr>
        <w:t>omēr</w:t>
      </w:r>
      <w:r w:rsidRPr="00C96390">
        <w:rPr>
          <w:rFonts w:ascii="Times New Roman" w:hAnsi="Times New Roman"/>
          <w:sz w:val="24"/>
          <w:szCs w:val="24"/>
        </w:rPr>
        <w:t xml:space="preserve"> i</w:t>
      </w:r>
      <w:r w:rsidR="002556FF" w:rsidRPr="00C96390">
        <w:rPr>
          <w:rFonts w:ascii="Times New Roman" w:hAnsi="Times New Roman"/>
          <w:sz w:val="24"/>
          <w:szCs w:val="24"/>
        </w:rPr>
        <w:t>zvērtējot</w:t>
      </w:r>
      <w:r w:rsidRPr="00C96390">
        <w:rPr>
          <w:rFonts w:ascii="Times New Roman" w:hAnsi="Times New Roman"/>
          <w:sz w:val="24"/>
          <w:szCs w:val="24"/>
        </w:rPr>
        <w:t xml:space="preserve"> </w:t>
      </w:r>
      <w:r w:rsidR="00B663B1" w:rsidRPr="00C96390">
        <w:rPr>
          <w:rFonts w:ascii="Times New Roman" w:hAnsi="Times New Roman"/>
          <w:sz w:val="24"/>
          <w:szCs w:val="24"/>
        </w:rPr>
        <w:t>Jūrmalas TPG Teritorijas izmantošanas un apbūves noteikumu</w:t>
      </w:r>
      <w:r w:rsidRPr="00C96390">
        <w:rPr>
          <w:rFonts w:ascii="Times New Roman" w:hAnsi="Times New Roman"/>
          <w:sz w:val="24"/>
          <w:szCs w:val="24"/>
        </w:rPr>
        <w:t>s</w:t>
      </w:r>
      <w:r w:rsidR="00B663B1" w:rsidRPr="00C96390">
        <w:rPr>
          <w:rFonts w:ascii="Times New Roman" w:hAnsi="Times New Roman"/>
          <w:sz w:val="24"/>
          <w:szCs w:val="24"/>
        </w:rPr>
        <w:t xml:space="preserve"> (turpmāk TIAN)</w:t>
      </w:r>
      <w:r w:rsidR="007D595A" w:rsidRPr="00C96390">
        <w:rPr>
          <w:rFonts w:ascii="Times New Roman" w:hAnsi="Times New Roman"/>
          <w:sz w:val="24"/>
          <w:szCs w:val="24"/>
        </w:rPr>
        <w:t>,</w:t>
      </w:r>
      <w:r w:rsidR="00B663B1" w:rsidRPr="00C96390">
        <w:rPr>
          <w:rFonts w:ascii="Times New Roman" w:hAnsi="Times New Roman"/>
          <w:sz w:val="24"/>
          <w:szCs w:val="24"/>
        </w:rPr>
        <w:t xml:space="preserve"> </w:t>
      </w:r>
      <w:r w:rsidR="00C13906" w:rsidRPr="00C96390">
        <w:rPr>
          <w:rFonts w:ascii="Times New Roman" w:hAnsi="Times New Roman"/>
          <w:sz w:val="24"/>
          <w:szCs w:val="24"/>
        </w:rPr>
        <w:t>ministrija</w:t>
      </w:r>
      <w:r w:rsidRPr="00C96390">
        <w:rPr>
          <w:rFonts w:ascii="Times New Roman" w:hAnsi="Times New Roman"/>
          <w:sz w:val="24"/>
          <w:szCs w:val="24"/>
        </w:rPr>
        <w:t xml:space="preserve"> konstatē šādas</w:t>
      </w:r>
      <w:r w:rsidR="004347D5" w:rsidRPr="00C96390">
        <w:rPr>
          <w:rFonts w:ascii="Times New Roman" w:hAnsi="Times New Roman"/>
          <w:sz w:val="24"/>
          <w:szCs w:val="24"/>
        </w:rPr>
        <w:t xml:space="preserve"> </w:t>
      </w:r>
      <w:r w:rsidR="00B663B1" w:rsidRPr="00C96390">
        <w:rPr>
          <w:rFonts w:ascii="Times New Roman" w:hAnsi="Times New Roman"/>
          <w:sz w:val="24"/>
          <w:szCs w:val="24"/>
        </w:rPr>
        <w:t>neatbilstības</w:t>
      </w:r>
      <w:r w:rsidR="004347D5" w:rsidRPr="00C96390">
        <w:rPr>
          <w:rFonts w:ascii="Times New Roman" w:hAnsi="Times New Roman"/>
          <w:sz w:val="24"/>
          <w:szCs w:val="24"/>
        </w:rPr>
        <w:t xml:space="preserve"> un pretrunas</w:t>
      </w:r>
      <w:r w:rsidR="002556FF" w:rsidRPr="00C96390">
        <w:rPr>
          <w:rFonts w:ascii="Times New Roman" w:hAnsi="Times New Roman"/>
          <w:sz w:val="24"/>
          <w:szCs w:val="24"/>
        </w:rPr>
        <w:t xml:space="preserve">: </w:t>
      </w:r>
    </w:p>
    <w:p w:rsidR="00B663B1" w:rsidRPr="00C96390" w:rsidRDefault="00B663B1" w:rsidP="00C96390">
      <w:pPr>
        <w:pStyle w:val="ae"/>
        <w:numPr>
          <w:ilvl w:val="0"/>
          <w:numId w:val="14"/>
        </w:numPr>
        <w:spacing w:line="276" w:lineRule="auto"/>
        <w:jc w:val="both"/>
        <w:rPr>
          <w:rFonts w:ascii="Times New Roman" w:hAnsi="Times New Roman"/>
          <w:sz w:val="24"/>
          <w:szCs w:val="24"/>
        </w:rPr>
      </w:pPr>
      <w:r w:rsidRPr="00C96390">
        <w:rPr>
          <w:rFonts w:ascii="Times New Roman" w:hAnsi="Times New Roman"/>
          <w:sz w:val="24"/>
          <w:szCs w:val="24"/>
        </w:rPr>
        <w:t xml:space="preserve">TIAN 3.13.apakšpunktā lietotais termins </w:t>
      </w:r>
      <w:r w:rsidRPr="00C96390">
        <w:rPr>
          <w:rFonts w:ascii="Times New Roman" w:hAnsi="Times New Roman"/>
          <w:i/>
          <w:sz w:val="24"/>
          <w:szCs w:val="24"/>
        </w:rPr>
        <w:t>būves pārbūve</w:t>
      </w:r>
      <w:r w:rsidRPr="00C96390">
        <w:rPr>
          <w:rFonts w:ascii="Times New Roman" w:hAnsi="Times New Roman"/>
          <w:sz w:val="24"/>
          <w:szCs w:val="24"/>
        </w:rPr>
        <w:t xml:space="preserve"> neatbilst Būvniecības likuma 1.panta 10.punktā dotajai </w:t>
      </w:r>
      <w:r w:rsidRPr="00C96390">
        <w:rPr>
          <w:rFonts w:ascii="Times New Roman" w:hAnsi="Times New Roman"/>
          <w:i/>
          <w:sz w:val="24"/>
          <w:szCs w:val="24"/>
        </w:rPr>
        <w:t xml:space="preserve">būves pārbūve </w:t>
      </w:r>
      <w:r w:rsidRPr="00C96390">
        <w:rPr>
          <w:rFonts w:ascii="Times New Roman" w:hAnsi="Times New Roman"/>
          <w:sz w:val="24"/>
          <w:szCs w:val="24"/>
        </w:rPr>
        <w:t>definīcijai</w:t>
      </w:r>
      <w:r w:rsidR="00456BBB" w:rsidRPr="00C96390">
        <w:rPr>
          <w:rFonts w:ascii="Times New Roman" w:hAnsi="Times New Roman"/>
          <w:sz w:val="24"/>
          <w:szCs w:val="24"/>
        </w:rPr>
        <w:t>, līdz ar to</w:t>
      </w:r>
      <w:r w:rsidR="00DD0964" w:rsidRPr="00C96390">
        <w:rPr>
          <w:rFonts w:ascii="Times New Roman" w:hAnsi="Times New Roman"/>
          <w:sz w:val="24"/>
          <w:szCs w:val="24"/>
        </w:rPr>
        <w:t xml:space="preserve"> šis TIAN punkts ir svītrojams.</w:t>
      </w:r>
    </w:p>
    <w:p w:rsidR="00B663B1" w:rsidRPr="00C96390" w:rsidRDefault="00B663B1" w:rsidP="00C96390">
      <w:pPr>
        <w:pStyle w:val="ae"/>
        <w:numPr>
          <w:ilvl w:val="0"/>
          <w:numId w:val="14"/>
        </w:numPr>
        <w:spacing w:line="276" w:lineRule="auto"/>
        <w:jc w:val="both"/>
        <w:rPr>
          <w:rFonts w:ascii="Times New Roman" w:hAnsi="Times New Roman"/>
          <w:sz w:val="24"/>
          <w:szCs w:val="24"/>
        </w:rPr>
      </w:pPr>
      <w:r w:rsidRPr="00C96390">
        <w:rPr>
          <w:rFonts w:ascii="Times New Roman" w:hAnsi="Times New Roman"/>
          <w:sz w:val="24"/>
          <w:szCs w:val="24"/>
        </w:rPr>
        <w:t xml:space="preserve">TIAN 3.38.apakšpunktā ir </w:t>
      </w:r>
      <w:r w:rsidR="007D595A" w:rsidRPr="00C96390">
        <w:rPr>
          <w:rFonts w:ascii="Times New Roman" w:hAnsi="Times New Roman"/>
          <w:sz w:val="24"/>
          <w:szCs w:val="24"/>
        </w:rPr>
        <w:t xml:space="preserve">skaidrots </w:t>
      </w:r>
      <w:r w:rsidRPr="00C96390">
        <w:rPr>
          <w:rFonts w:ascii="Times New Roman" w:hAnsi="Times New Roman"/>
          <w:sz w:val="24"/>
          <w:szCs w:val="24"/>
        </w:rPr>
        <w:t xml:space="preserve">termins </w:t>
      </w:r>
      <w:r w:rsidR="00D46A84" w:rsidRPr="00C96390">
        <w:rPr>
          <w:rFonts w:ascii="Times New Roman" w:hAnsi="Times New Roman"/>
          <w:i/>
          <w:sz w:val="24"/>
          <w:szCs w:val="24"/>
        </w:rPr>
        <w:t xml:space="preserve">palīgizmantošana, </w:t>
      </w:r>
      <w:r w:rsidR="00D46A84" w:rsidRPr="00C96390">
        <w:rPr>
          <w:rFonts w:ascii="Times New Roman" w:hAnsi="Times New Roman"/>
          <w:sz w:val="24"/>
          <w:szCs w:val="24"/>
        </w:rPr>
        <w:t xml:space="preserve">taču noteikumos Nr.240 tiek lietots termins </w:t>
      </w:r>
      <w:r w:rsidR="007D595A" w:rsidRPr="00C96390">
        <w:rPr>
          <w:rFonts w:ascii="Times New Roman" w:hAnsi="Times New Roman"/>
          <w:i/>
          <w:sz w:val="24"/>
          <w:szCs w:val="24"/>
        </w:rPr>
        <w:t>p</w:t>
      </w:r>
      <w:r w:rsidR="00D46A84" w:rsidRPr="00C96390">
        <w:rPr>
          <w:rFonts w:ascii="Times New Roman" w:hAnsi="Times New Roman"/>
          <w:i/>
          <w:sz w:val="24"/>
          <w:szCs w:val="24"/>
        </w:rPr>
        <w:t>apildizmantošana</w:t>
      </w:r>
      <w:r w:rsidR="00D46A84" w:rsidRPr="00C96390">
        <w:rPr>
          <w:rFonts w:ascii="Times New Roman" w:hAnsi="Times New Roman"/>
          <w:sz w:val="24"/>
          <w:szCs w:val="24"/>
        </w:rPr>
        <w:t xml:space="preserve">. </w:t>
      </w:r>
      <w:r w:rsidR="00A41282" w:rsidRPr="00C96390">
        <w:rPr>
          <w:rFonts w:ascii="Times New Roman" w:hAnsi="Times New Roman"/>
          <w:sz w:val="24"/>
          <w:szCs w:val="24"/>
        </w:rPr>
        <w:t xml:space="preserve">Arī TIAN tekstā turpmāk tiek lietots jēdziens </w:t>
      </w:r>
      <w:r w:rsidR="00A41282" w:rsidRPr="00C96390">
        <w:rPr>
          <w:rFonts w:ascii="Times New Roman" w:hAnsi="Times New Roman"/>
          <w:i/>
          <w:sz w:val="24"/>
          <w:szCs w:val="24"/>
        </w:rPr>
        <w:t>papildizmantošana</w:t>
      </w:r>
      <w:r w:rsidR="00A41282" w:rsidRPr="00C96390">
        <w:rPr>
          <w:rFonts w:ascii="Times New Roman" w:hAnsi="Times New Roman"/>
          <w:sz w:val="24"/>
          <w:szCs w:val="24"/>
        </w:rPr>
        <w:t>.</w:t>
      </w:r>
      <w:r w:rsidR="00F25433" w:rsidRPr="00C96390">
        <w:rPr>
          <w:rFonts w:ascii="Times New Roman" w:hAnsi="Times New Roman"/>
          <w:sz w:val="24"/>
          <w:szCs w:val="24"/>
        </w:rPr>
        <w:t xml:space="preserve"> Ņemot vērā minēto, </w:t>
      </w:r>
      <w:r w:rsidR="003A20DA" w:rsidRPr="00C96390">
        <w:rPr>
          <w:rFonts w:ascii="Times New Roman" w:hAnsi="Times New Roman"/>
          <w:sz w:val="24"/>
          <w:szCs w:val="24"/>
        </w:rPr>
        <w:t xml:space="preserve">lūdzam </w:t>
      </w:r>
      <w:r w:rsidR="00F25433" w:rsidRPr="00C96390">
        <w:rPr>
          <w:rFonts w:ascii="Times New Roman" w:hAnsi="Times New Roman"/>
          <w:sz w:val="24"/>
          <w:szCs w:val="24"/>
        </w:rPr>
        <w:t xml:space="preserve">veikt </w:t>
      </w:r>
      <w:r w:rsidR="003A20DA" w:rsidRPr="00C96390">
        <w:rPr>
          <w:rFonts w:ascii="Times New Roman" w:hAnsi="Times New Roman"/>
          <w:sz w:val="24"/>
          <w:szCs w:val="24"/>
        </w:rPr>
        <w:t xml:space="preserve">attiecīgus </w:t>
      </w:r>
      <w:r w:rsidR="00F25433" w:rsidRPr="00C96390">
        <w:rPr>
          <w:rFonts w:ascii="Times New Roman" w:hAnsi="Times New Roman"/>
          <w:sz w:val="24"/>
          <w:szCs w:val="24"/>
        </w:rPr>
        <w:t>precizējumus.</w:t>
      </w:r>
    </w:p>
    <w:p w:rsidR="00D46A84" w:rsidRPr="00C96390" w:rsidRDefault="00D46A84" w:rsidP="00C96390">
      <w:pPr>
        <w:pStyle w:val="ae"/>
        <w:numPr>
          <w:ilvl w:val="0"/>
          <w:numId w:val="14"/>
        </w:numPr>
        <w:spacing w:line="276" w:lineRule="auto"/>
        <w:ind w:left="714" w:hanging="357"/>
        <w:jc w:val="both"/>
        <w:rPr>
          <w:rFonts w:ascii="Times New Roman" w:hAnsi="Times New Roman"/>
          <w:sz w:val="24"/>
          <w:szCs w:val="24"/>
        </w:rPr>
      </w:pPr>
      <w:r w:rsidRPr="00C96390">
        <w:rPr>
          <w:rFonts w:ascii="Times New Roman" w:hAnsi="Times New Roman"/>
          <w:sz w:val="24"/>
          <w:szCs w:val="24"/>
        </w:rPr>
        <w:t>TIAN 22. punkts pieļauj zemes vienību, kurā ir vairākas funkcionālās zonas, sadalīšanu bez detālplānojuma</w:t>
      </w:r>
      <w:r w:rsidR="007D595A" w:rsidRPr="00C96390">
        <w:rPr>
          <w:rFonts w:ascii="Times New Roman" w:hAnsi="Times New Roman"/>
          <w:sz w:val="24"/>
          <w:szCs w:val="24"/>
        </w:rPr>
        <w:t>.</w:t>
      </w:r>
      <w:r w:rsidRPr="00C96390">
        <w:rPr>
          <w:rFonts w:ascii="Times New Roman" w:hAnsi="Times New Roman"/>
          <w:sz w:val="24"/>
          <w:szCs w:val="24"/>
        </w:rPr>
        <w:t xml:space="preserve"> </w:t>
      </w:r>
      <w:r w:rsidR="007D595A" w:rsidRPr="00C96390">
        <w:rPr>
          <w:rFonts w:ascii="Times New Roman" w:hAnsi="Times New Roman"/>
          <w:sz w:val="24"/>
          <w:szCs w:val="24"/>
        </w:rPr>
        <w:t>Savukārt</w:t>
      </w:r>
      <w:r w:rsidRPr="00C96390">
        <w:rPr>
          <w:rFonts w:ascii="Times New Roman" w:hAnsi="Times New Roman"/>
          <w:sz w:val="24"/>
          <w:szCs w:val="24"/>
        </w:rPr>
        <w:t xml:space="preserve"> noteikumu Nr.628 39.3.apakšpunktā ir uzskaitītas funkcionālās zonas, kurās </w:t>
      </w:r>
      <w:r w:rsidR="00A41282" w:rsidRPr="00C96390">
        <w:rPr>
          <w:rFonts w:ascii="Times New Roman" w:hAnsi="Times New Roman"/>
          <w:sz w:val="24"/>
          <w:szCs w:val="24"/>
        </w:rPr>
        <w:t xml:space="preserve">plānojot </w:t>
      </w:r>
      <w:r w:rsidR="000A0827" w:rsidRPr="00C96390">
        <w:rPr>
          <w:rFonts w:ascii="Times New Roman" w:hAnsi="Times New Roman"/>
          <w:sz w:val="24"/>
          <w:szCs w:val="24"/>
        </w:rPr>
        <w:t>triju</w:t>
      </w:r>
      <w:r w:rsidR="00A41282" w:rsidRPr="00C96390">
        <w:rPr>
          <w:rFonts w:ascii="Times New Roman" w:hAnsi="Times New Roman"/>
          <w:sz w:val="24"/>
          <w:szCs w:val="24"/>
        </w:rPr>
        <w:t xml:space="preserve"> un vairāk jaunu zemes vienību veidošanu, ir jāizstrādā detālplānojums</w:t>
      </w:r>
      <w:r w:rsidR="00DD0964" w:rsidRPr="00C96390">
        <w:rPr>
          <w:rFonts w:ascii="Times New Roman" w:hAnsi="Times New Roman"/>
          <w:sz w:val="24"/>
          <w:szCs w:val="24"/>
        </w:rPr>
        <w:t>, t</w:t>
      </w:r>
      <w:r w:rsidR="007D595A" w:rsidRPr="00C96390">
        <w:rPr>
          <w:rFonts w:ascii="Times New Roman" w:hAnsi="Times New Roman"/>
          <w:sz w:val="24"/>
          <w:szCs w:val="24"/>
        </w:rPr>
        <w:t xml:space="preserve">ādējādi </w:t>
      </w:r>
      <w:r w:rsidR="00DD0964" w:rsidRPr="00C96390">
        <w:rPr>
          <w:rFonts w:ascii="Times New Roman" w:hAnsi="Times New Roman"/>
          <w:sz w:val="24"/>
          <w:szCs w:val="24"/>
        </w:rPr>
        <w:t xml:space="preserve">var rasties pretrunas, piemērojot </w:t>
      </w:r>
      <w:r w:rsidR="007D595A" w:rsidRPr="00C96390">
        <w:rPr>
          <w:rFonts w:ascii="Times New Roman" w:hAnsi="Times New Roman"/>
          <w:sz w:val="24"/>
          <w:szCs w:val="24"/>
        </w:rPr>
        <w:t>TIAN 22. punkt</w:t>
      </w:r>
      <w:r w:rsidR="00DD0964" w:rsidRPr="00C96390">
        <w:rPr>
          <w:rFonts w:ascii="Times New Roman" w:hAnsi="Times New Roman"/>
          <w:sz w:val="24"/>
          <w:szCs w:val="24"/>
        </w:rPr>
        <w:t>u.</w:t>
      </w:r>
      <w:r w:rsidR="007D595A" w:rsidRPr="00C96390">
        <w:rPr>
          <w:rFonts w:ascii="Times New Roman" w:hAnsi="Times New Roman"/>
          <w:sz w:val="24"/>
          <w:szCs w:val="24"/>
        </w:rPr>
        <w:t xml:space="preserve"> </w:t>
      </w:r>
      <w:r w:rsidR="00DD0964" w:rsidRPr="00C96390">
        <w:rPr>
          <w:rFonts w:ascii="Times New Roman" w:hAnsi="Times New Roman"/>
          <w:sz w:val="24"/>
          <w:szCs w:val="24"/>
        </w:rPr>
        <w:t>Uzskatām ka šis TIAN punkts ir svītrojams.</w:t>
      </w:r>
    </w:p>
    <w:p w:rsidR="00A41282" w:rsidRPr="00C96390" w:rsidRDefault="00FE483D" w:rsidP="00C96390">
      <w:pPr>
        <w:pStyle w:val="ae"/>
        <w:numPr>
          <w:ilvl w:val="0"/>
          <w:numId w:val="14"/>
        </w:numPr>
        <w:spacing w:line="276" w:lineRule="auto"/>
        <w:ind w:left="714" w:hanging="357"/>
        <w:jc w:val="both"/>
        <w:rPr>
          <w:rFonts w:ascii="Times New Roman" w:hAnsi="Times New Roman"/>
          <w:i/>
          <w:sz w:val="24"/>
          <w:szCs w:val="24"/>
        </w:rPr>
      </w:pPr>
      <w:r w:rsidRPr="00C96390">
        <w:rPr>
          <w:rFonts w:ascii="Times New Roman" w:hAnsi="Times New Roman"/>
          <w:sz w:val="24"/>
          <w:szCs w:val="24"/>
        </w:rPr>
        <w:t xml:space="preserve">TIAN 4.nodaļā </w:t>
      </w:r>
      <w:r w:rsidRPr="00C96390">
        <w:rPr>
          <w:rFonts w:ascii="Times New Roman" w:hAnsi="Times New Roman"/>
          <w:i/>
          <w:sz w:val="24"/>
          <w:szCs w:val="24"/>
        </w:rPr>
        <w:t xml:space="preserve">Prasības teritorijas izmantošanai un apbūves parametriem katrā funkcionālajā zonā </w:t>
      </w:r>
      <w:r w:rsidRPr="00C96390">
        <w:rPr>
          <w:rFonts w:ascii="Times New Roman" w:hAnsi="Times New Roman"/>
          <w:sz w:val="24"/>
          <w:szCs w:val="24"/>
        </w:rPr>
        <w:t xml:space="preserve">ir piezīme, ka </w:t>
      </w:r>
      <w:r w:rsidR="00C74683" w:rsidRPr="00C96390">
        <w:rPr>
          <w:rFonts w:ascii="Times New Roman" w:hAnsi="Times New Roman"/>
          <w:sz w:val="24"/>
          <w:szCs w:val="24"/>
        </w:rPr>
        <w:t>gadījumā</w:t>
      </w:r>
      <w:r w:rsidR="003A20DA" w:rsidRPr="00C96390">
        <w:rPr>
          <w:rFonts w:ascii="Times New Roman" w:hAnsi="Times New Roman"/>
          <w:sz w:val="24"/>
          <w:szCs w:val="24"/>
        </w:rPr>
        <w:t>,</w:t>
      </w:r>
      <w:r w:rsidR="00C74683" w:rsidRPr="00C96390">
        <w:rPr>
          <w:rFonts w:ascii="Times New Roman" w:hAnsi="Times New Roman"/>
          <w:sz w:val="24"/>
          <w:szCs w:val="24"/>
        </w:rPr>
        <w:t xml:space="preserve"> kad</w:t>
      </w:r>
      <w:r w:rsidRPr="00C96390">
        <w:rPr>
          <w:rFonts w:ascii="Times New Roman" w:hAnsi="Times New Roman"/>
          <w:sz w:val="24"/>
          <w:szCs w:val="24"/>
        </w:rPr>
        <w:t xml:space="preserve"> pie galvenajiem un papildizmantošanas veidiem nav noteikts izmantošanas veida apraksts, tas tiek piemērots atbilstoši noteikumu Nr.240 3.pielikumam. No </w:t>
      </w:r>
      <w:r w:rsidR="00C74683" w:rsidRPr="00C96390">
        <w:rPr>
          <w:rFonts w:ascii="Times New Roman" w:hAnsi="Times New Roman"/>
          <w:sz w:val="24"/>
          <w:szCs w:val="24"/>
        </w:rPr>
        <w:t>tā</w:t>
      </w:r>
      <w:r w:rsidRPr="00C96390">
        <w:rPr>
          <w:rFonts w:ascii="Times New Roman" w:hAnsi="Times New Roman"/>
          <w:sz w:val="24"/>
          <w:szCs w:val="24"/>
        </w:rPr>
        <w:t xml:space="preserve"> izriet, ka attiecīgi funkcionālajā zonā ir pieļaujams pilns atļauto izmantošanas veidu spektrs, kas atsevišķos gadījumos var radīt problēmas un konfliktus. Tā</w:t>
      </w:r>
      <w:r w:rsidR="003A20DA" w:rsidRPr="00C96390">
        <w:rPr>
          <w:rFonts w:ascii="Times New Roman" w:hAnsi="Times New Roman"/>
          <w:sz w:val="24"/>
          <w:szCs w:val="24"/>
        </w:rPr>
        <w:t>,</w:t>
      </w:r>
      <w:r w:rsidR="00456BBB" w:rsidRPr="00C96390">
        <w:rPr>
          <w:rFonts w:ascii="Times New Roman" w:hAnsi="Times New Roman"/>
          <w:sz w:val="24"/>
          <w:szCs w:val="24"/>
        </w:rPr>
        <w:t xml:space="preserve"> </w:t>
      </w:r>
      <w:r w:rsidRPr="00C96390">
        <w:rPr>
          <w:rFonts w:ascii="Times New Roman" w:hAnsi="Times New Roman"/>
          <w:sz w:val="24"/>
          <w:szCs w:val="24"/>
        </w:rPr>
        <w:t xml:space="preserve">piemēram, visās </w:t>
      </w:r>
      <w:r w:rsidR="00200325" w:rsidRPr="00C96390">
        <w:rPr>
          <w:rFonts w:ascii="Times New Roman" w:hAnsi="Times New Roman"/>
          <w:sz w:val="24"/>
          <w:szCs w:val="24"/>
        </w:rPr>
        <w:t>Savrupmāju dzīvojamās apbūves teritoriju (</w:t>
      </w:r>
      <w:r w:rsidRPr="00C96390">
        <w:rPr>
          <w:rFonts w:ascii="Times New Roman" w:hAnsi="Times New Roman"/>
          <w:sz w:val="24"/>
          <w:szCs w:val="24"/>
        </w:rPr>
        <w:t>DzS</w:t>
      </w:r>
      <w:r w:rsidR="00200325" w:rsidRPr="00C96390">
        <w:rPr>
          <w:rFonts w:ascii="Times New Roman" w:hAnsi="Times New Roman"/>
          <w:sz w:val="24"/>
          <w:szCs w:val="24"/>
        </w:rPr>
        <w:t xml:space="preserve">) </w:t>
      </w:r>
      <w:r w:rsidR="004347D5" w:rsidRPr="00C96390">
        <w:rPr>
          <w:rFonts w:ascii="Times New Roman" w:hAnsi="Times New Roman"/>
          <w:sz w:val="24"/>
          <w:szCs w:val="24"/>
        </w:rPr>
        <w:t>apakšzonās</w:t>
      </w:r>
      <w:r w:rsidRPr="00C96390">
        <w:rPr>
          <w:rFonts w:ascii="Times New Roman" w:hAnsi="Times New Roman"/>
          <w:sz w:val="24"/>
          <w:szCs w:val="24"/>
        </w:rPr>
        <w:t>, kur galvenais izmantošanas veids ir savrupmāju un vasarnīcu apbūve</w:t>
      </w:r>
      <w:r w:rsidR="003049C9" w:rsidRPr="00C96390">
        <w:rPr>
          <w:rFonts w:ascii="Times New Roman" w:hAnsi="Times New Roman"/>
          <w:sz w:val="24"/>
          <w:szCs w:val="24"/>
        </w:rPr>
        <w:t>, kā papildizmantošana ir pieļaujama labiekārtota publiskā ārtelpa, kas ietver ļoti plašu izmantošanas veidu spektru, tai skaitā zooloģiskos dārzus, atrakciju un atp</w:t>
      </w:r>
      <w:r w:rsidR="00C74683" w:rsidRPr="00C96390">
        <w:rPr>
          <w:rFonts w:ascii="Times New Roman" w:hAnsi="Times New Roman"/>
          <w:sz w:val="24"/>
          <w:szCs w:val="24"/>
        </w:rPr>
        <w:t>ū</w:t>
      </w:r>
      <w:r w:rsidR="003049C9" w:rsidRPr="00C96390">
        <w:rPr>
          <w:rFonts w:ascii="Times New Roman" w:hAnsi="Times New Roman"/>
          <w:sz w:val="24"/>
          <w:szCs w:val="24"/>
        </w:rPr>
        <w:t xml:space="preserve">tas parkus, </w:t>
      </w:r>
      <w:r w:rsidR="003049C9" w:rsidRPr="00C96390">
        <w:rPr>
          <w:rFonts w:ascii="Times New Roman" w:hAnsi="Times New Roman"/>
          <w:sz w:val="24"/>
          <w:szCs w:val="24"/>
        </w:rPr>
        <w:lastRenderedPageBreak/>
        <w:t>kapsētas u.tml., kas nav savienojumi ar definīcijā noteikto savrupmāju apbūves funkciju – nodrošināt mājokļa funkciju</w:t>
      </w:r>
      <w:r w:rsidR="00C74683" w:rsidRPr="00C96390">
        <w:rPr>
          <w:rFonts w:ascii="Times New Roman" w:hAnsi="Times New Roman"/>
          <w:sz w:val="24"/>
          <w:szCs w:val="24"/>
        </w:rPr>
        <w:t xml:space="preserve">. </w:t>
      </w:r>
      <w:r w:rsidR="004347D5" w:rsidRPr="00C96390">
        <w:rPr>
          <w:rFonts w:ascii="Times New Roman" w:hAnsi="Times New Roman"/>
          <w:sz w:val="24"/>
          <w:szCs w:val="24"/>
        </w:rPr>
        <w:t xml:space="preserve">To pašu var attiecināt uz citām funkcionālajām zonām un apakšzonām. </w:t>
      </w:r>
      <w:r w:rsidR="00C74683" w:rsidRPr="00C96390">
        <w:rPr>
          <w:rFonts w:ascii="Times New Roman" w:hAnsi="Times New Roman"/>
          <w:sz w:val="24"/>
          <w:szCs w:val="24"/>
        </w:rPr>
        <w:t>Vēršam uzmanību, ka tas nerada iedzīvotājiem tiesisku paļāvību</w:t>
      </w:r>
      <w:r w:rsidR="003049C9" w:rsidRPr="00C96390">
        <w:rPr>
          <w:rFonts w:ascii="Times New Roman" w:hAnsi="Times New Roman"/>
          <w:sz w:val="24"/>
          <w:szCs w:val="24"/>
        </w:rPr>
        <w:t xml:space="preserve"> par</w:t>
      </w:r>
      <w:r w:rsidR="00C74683" w:rsidRPr="00C96390">
        <w:rPr>
          <w:rFonts w:ascii="Times New Roman" w:hAnsi="Times New Roman"/>
          <w:sz w:val="24"/>
          <w:szCs w:val="24"/>
        </w:rPr>
        <w:t xml:space="preserve"> to, ka </w:t>
      </w:r>
      <w:r w:rsidR="00C13906" w:rsidRPr="00C96390">
        <w:rPr>
          <w:rFonts w:ascii="Times New Roman" w:hAnsi="Times New Roman"/>
          <w:sz w:val="24"/>
          <w:szCs w:val="24"/>
        </w:rPr>
        <w:t>netiks ieplānoti tādi</w:t>
      </w:r>
      <w:r w:rsidR="00C74683" w:rsidRPr="00C96390">
        <w:rPr>
          <w:rFonts w:ascii="Times New Roman" w:hAnsi="Times New Roman"/>
          <w:sz w:val="24"/>
          <w:szCs w:val="24"/>
        </w:rPr>
        <w:t xml:space="preserve"> objekti, kas </w:t>
      </w:r>
      <w:r w:rsidR="00DD0964" w:rsidRPr="00C96390">
        <w:rPr>
          <w:rFonts w:ascii="Times New Roman" w:hAnsi="Times New Roman"/>
          <w:sz w:val="24"/>
          <w:szCs w:val="24"/>
        </w:rPr>
        <w:t xml:space="preserve">var </w:t>
      </w:r>
      <w:r w:rsidR="00C74683" w:rsidRPr="00C96390">
        <w:rPr>
          <w:rFonts w:ascii="Times New Roman" w:hAnsi="Times New Roman"/>
          <w:sz w:val="24"/>
          <w:szCs w:val="24"/>
        </w:rPr>
        <w:t>radī</w:t>
      </w:r>
      <w:r w:rsidR="00DD0964" w:rsidRPr="00C96390">
        <w:rPr>
          <w:rFonts w:ascii="Times New Roman" w:hAnsi="Times New Roman"/>
          <w:sz w:val="24"/>
          <w:szCs w:val="24"/>
        </w:rPr>
        <w:t>t</w:t>
      </w:r>
      <w:r w:rsidR="00C74683" w:rsidRPr="00C96390">
        <w:rPr>
          <w:rFonts w:ascii="Times New Roman" w:hAnsi="Times New Roman"/>
          <w:sz w:val="24"/>
          <w:szCs w:val="24"/>
        </w:rPr>
        <w:t xml:space="preserve"> cilvēku un transporta pieplūdumu un troksni.</w:t>
      </w:r>
    </w:p>
    <w:p w:rsidR="00912E94" w:rsidRPr="00C96390" w:rsidRDefault="004347D5" w:rsidP="00C96390">
      <w:pPr>
        <w:pStyle w:val="ae"/>
        <w:numPr>
          <w:ilvl w:val="0"/>
          <w:numId w:val="14"/>
        </w:numPr>
        <w:tabs>
          <w:tab w:val="left" w:pos="284"/>
        </w:tabs>
        <w:spacing w:line="276" w:lineRule="auto"/>
        <w:ind w:left="714" w:hanging="357"/>
        <w:jc w:val="both"/>
        <w:rPr>
          <w:rFonts w:ascii="Times New Roman" w:hAnsi="Times New Roman"/>
          <w:sz w:val="24"/>
          <w:szCs w:val="24"/>
        </w:rPr>
      </w:pPr>
      <w:r w:rsidRPr="00C96390">
        <w:rPr>
          <w:rFonts w:ascii="Times New Roman" w:hAnsi="Times New Roman"/>
          <w:sz w:val="24"/>
          <w:szCs w:val="24"/>
        </w:rPr>
        <w:t xml:space="preserve">TIAN 9.pielikumā </w:t>
      </w:r>
      <w:r w:rsidRPr="00C96390">
        <w:rPr>
          <w:rFonts w:ascii="Times New Roman" w:hAnsi="Times New Roman"/>
          <w:i/>
          <w:sz w:val="24"/>
          <w:szCs w:val="24"/>
        </w:rPr>
        <w:t>Apbūves parametru aprēķins un lietošana</w:t>
      </w:r>
      <w:r w:rsidRPr="00C96390">
        <w:rPr>
          <w:rFonts w:ascii="Times New Roman" w:hAnsi="Times New Roman"/>
          <w:sz w:val="24"/>
          <w:szCs w:val="24"/>
        </w:rPr>
        <w:t xml:space="preserve"> dotās apbūves parametru aprēķina formulas un skaidrojumi </w:t>
      </w:r>
      <w:r w:rsidR="00144CE6" w:rsidRPr="00C96390">
        <w:rPr>
          <w:rFonts w:ascii="Times New Roman" w:hAnsi="Times New Roman"/>
          <w:sz w:val="24"/>
          <w:szCs w:val="24"/>
        </w:rPr>
        <w:t xml:space="preserve">ir pilnīgi atšķirīgi no </w:t>
      </w:r>
      <w:r w:rsidRPr="00C96390">
        <w:rPr>
          <w:rFonts w:ascii="Times New Roman" w:hAnsi="Times New Roman"/>
          <w:sz w:val="24"/>
          <w:szCs w:val="24"/>
        </w:rPr>
        <w:t xml:space="preserve">noteikumu </w:t>
      </w:r>
      <w:r w:rsidR="00144CE6" w:rsidRPr="00C96390">
        <w:rPr>
          <w:rFonts w:ascii="Times New Roman" w:hAnsi="Times New Roman"/>
          <w:sz w:val="24"/>
          <w:szCs w:val="24"/>
        </w:rPr>
        <w:t>N</w:t>
      </w:r>
      <w:r w:rsidRPr="00C96390">
        <w:rPr>
          <w:rFonts w:ascii="Times New Roman" w:hAnsi="Times New Roman"/>
          <w:sz w:val="24"/>
          <w:szCs w:val="24"/>
        </w:rPr>
        <w:t>r. 240 7.1.apakšnodaļā noteiktajā</w:t>
      </w:r>
      <w:r w:rsidR="00144CE6" w:rsidRPr="00C96390">
        <w:rPr>
          <w:rFonts w:ascii="Times New Roman" w:hAnsi="Times New Roman"/>
          <w:sz w:val="24"/>
          <w:szCs w:val="24"/>
        </w:rPr>
        <w:t>m</w:t>
      </w:r>
      <w:r w:rsidRPr="00C96390">
        <w:rPr>
          <w:rFonts w:ascii="Times New Roman" w:hAnsi="Times New Roman"/>
          <w:sz w:val="24"/>
          <w:szCs w:val="24"/>
        </w:rPr>
        <w:t xml:space="preserve"> aprēķina formulām un definīcijām un ir pretrunā ar tām</w:t>
      </w:r>
      <w:r w:rsidR="00144CE6" w:rsidRPr="00C96390">
        <w:rPr>
          <w:rFonts w:ascii="Times New Roman" w:hAnsi="Times New Roman"/>
          <w:sz w:val="24"/>
          <w:szCs w:val="24"/>
        </w:rPr>
        <w:t>, kas nav pieļaujams</w:t>
      </w:r>
      <w:r w:rsidRPr="00C96390">
        <w:rPr>
          <w:rFonts w:ascii="Times New Roman" w:hAnsi="Times New Roman"/>
          <w:sz w:val="24"/>
          <w:szCs w:val="24"/>
        </w:rPr>
        <w:t>.</w:t>
      </w:r>
    </w:p>
    <w:p w:rsidR="00D15994" w:rsidRPr="00C96390" w:rsidRDefault="00144CE6" w:rsidP="00C96390">
      <w:pPr>
        <w:pStyle w:val="ae"/>
        <w:numPr>
          <w:ilvl w:val="0"/>
          <w:numId w:val="14"/>
        </w:numPr>
        <w:tabs>
          <w:tab w:val="left" w:pos="284"/>
        </w:tabs>
        <w:spacing w:line="276" w:lineRule="auto"/>
        <w:ind w:left="714" w:hanging="357"/>
        <w:jc w:val="both"/>
        <w:rPr>
          <w:rFonts w:ascii="Times New Roman" w:hAnsi="Times New Roman"/>
          <w:sz w:val="24"/>
          <w:szCs w:val="24"/>
        </w:rPr>
      </w:pPr>
      <w:r w:rsidRPr="00C96390">
        <w:rPr>
          <w:rFonts w:ascii="Times New Roman" w:hAnsi="Times New Roman"/>
          <w:sz w:val="24"/>
          <w:szCs w:val="24"/>
        </w:rPr>
        <w:t xml:space="preserve">TIAN 7.2.apakšnodaļā Noslēguma jautājumi 2502.punktā ir uzskaitīti detālplānojumi, kas zaudē spēku. </w:t>
      </w:r>
      <w:r w:rsidR="00912E94" w:rsidRPr="00C96390">
        <w:rPr>
          <w:rFonts w:ascii="Times New Roman" w:hAnsi="Times New Roman"/>
          <w:sz w:val="24"/>
          <w:szCs w:val="24"/>
        </w:rPr>
        <w:t xml:space="preserve">Šīs normas iekļaušana TIAN </w:t>
      </w:r>
      <w:r w:rsidR="00C13906" w:rsidRPr="00C96390">
        <w:rPr>
          <w:rFonts w:ascii="Times New Roman" w:hAnsi="Times New Roman"/>
          <w:sz w:val="24"/>
          <w:szCs w:val="24"/>
        </w:rPr>
        <w:t>ir ne</w:t>
      </w:r>
      <w:r w:rsidR="00912E94" w:rsidRPr="00C96390">
        <w:rPr>
          <w:rFonts w:ascii="Times New Roman" w:hAnsi="Times New Roman"/>
          <w:sz w:val="24"/>
          <w:szCs w:val="24"/>
        </w:rPr>
        <w:t xml:space="preserve">pamatota, jo neatbilst noteikumu Nr.628 92.punktam, kurā noteikts, ka šo sarakstu iekļauj </w:t>
      </w:r>
      <w:r w:rsidR="00912E94" w:rsidRPr="00C96390">
        <w:rPr>
          <w:rFonts w:ascii="Times New Roman" w:hAnsi="Times New Roman"/>
          <w:sz w:val="24"/>
          <w:szCs w:val="24"/>
          <w:u w:val="single"/>
        </w:rPr>
        <w:t>saistošajos noteikumos par teritorijas plānojuma vai lokālplānojuma apstiprināšanu</w:t>
      </w:r>
      <w:r w:rsidR="00912E94" w:rsidRPr="00C96390">
        <w:rPr>
          <w:rFonts w:ascii="Times New Roman" w:hAnsi="Times New Roman"/>
          <w:sz w:val="24"/>
          <w:szCs w:val="24"/>
        </w:rPr>
        <w:t xml:space="preserve"> </w:t>
      </w:r>
      <w:r w:rsidR="00912E94" w:rsidRPr="00C96390">
        <w:rPr>
          <w:rFonts w:ascii="Times New Roman" w:hAnsi="Times New Roman"/>
          <w:sz w:val="24"/>
          <w:szCs w:val="24"/>
          <w:u w:val="single"/>
        </w:rPr>
        <w:t>noslēguma jautājumos</w:t>
      </w:r>
      <w:r w:rsidR="00912E94" w:rsidRPr="00C96390">
        <w:rPr>
          <w:rFonts w:ascii="Times New Roman" w:hAnsi="Times New Roman"/>
          <w:sz w:val="24"/>
          <w:szCs w:val="24"/>
        </w:rPr>
        <w:t xml:space="preserve">, nevis TIAN. </w:t>
      </w:r>
      <w:r w:rsidR="00C13906" w:rsidRPr="00C96390">
        <w:rPr>
          <w:rFonts w:ascii="Times New Roman" w:hAnsi="Times New Roman"/>
          <w:sz w:val="24"/>
          <w:szCs w:val="24"/>
        </w:rPr>
        <w:t xml:space="preserve">Lūdzam svītrot </w:t>
      </w:r>
      <w:r w:rsidR="00DD0964" w:rsidRPr="00C96390">
        <w:rPr>
          <w:rFonts w:ascii="Times New Roman" w:hAnsi="Times New Roman"/>
          <w:sz w:val="24"/>
          <w:szCs w:val="24"/>
        </w:rPr>
        <w:t>TIAN punkt</w:t>
      </w:r>
      <w:r w:rsidR="00C13906" w:rsidRPr="00C96390">
        <w:rPr>
          <w:rFonts w:ascii="Times New Roman" w:hAnsi="Times New Roman"/>
          <w:sz w:val="24"/>
          <w:szCs w:val="24"/>
        </w:rPr>
        <w:t>us</w:t>
      </w:r>
      <w:r w:rsidR="00DD0964" w:rsidRPr="00C96390">
        <w:rPr>
          <w:rFonts w:ascii="Times New Roman" w:hAnsi="Times New Roman"/>
          <w:sz w:val="24"/>
          <w:szCs w:val="24"/>
        </w:rPr>
        <w:t xml:space="preserve"> kas nosaka detālplānojumu tiesisko statusu</w:t>
      </w:r>
      <w:r w:rsidR="00C13906" w:rsidRPr="00C96390">
        <w:rPr>
          <w:rFonts w:ascii="Times New Roman" w:hAnsi="Times New Roman"/>
          <w:sz w:val="24"/>
          <w:szCs w:val="24"/>
        </w:rPr>
        <w:t>.</w:t>
      </w:r>
    </w:p>
    <w:p w:rsidR="00C96ED1" w:rsidRPr="00C96390" w:rsidRDefault="00912E94" w:rsidP="00C96390">
      <w:pPr>
        <w:pStyle w:val="ae"/>
        <w:numPr>
          <w:ilvl w:val="0"/>
          <w:numId w:val="14"/>
        </w:numPr>
        <w:tabs>
          <w:tab w:val="left" w:pos="284"/>
        </w:tabs>
        <w:spacing w:line="276" w:lineRule="auto"/>
        <w:ind w:left="714" w:hanging="357"/>
        <w:jc w:val="both"/>
        <w:rPr>
          <w:rFonts w:ascii="Times New Roman" w:hAnsi="Times New Roman"/>
          <w:sz w:val="24"/>
          <w:szCs w:val="24"/>
        </w:rPr>
      </w:pPr>
      <w:r w:rsidRPr="00C96390">
        <w:rPr>
          <w:rFonts w:ascii="Times New Roman" w:hAnsi="Times New Roman"/>
          <w:sz w:val="24"/>
          <w:szCs w:val="24"/>
        </w:rPr>
        <w:t xml:space="preserve">Noteikumu Nr.628 32.punktā ir noteikts teritorijas izmantošanas un apbūves noteikumu saturs, kur </w:t>
      </w:r>
      <w:r w:rsidR="00DD0964" w:rsidRPr="00C96390">
        <w:rPr>
          <w:rFonts w:ascii="Times New Roman" w:hAnsi="Times New Roman"/>
          <w:sz w:val="24"/>
          <w:szCs w:val="24"/>
        </w:rPr>
        <w:t xml:space="preserve">atsevišķas </w:t>
      </w:r>
      <w:r w:rsidRPr="00C96390">
        <w:rPr>
          <w:rFonts w:ascii="Times New Roman" w:hAnsi="Times New Roman"/>
          <w:sz w:val="24"/>
          <w:szCs w:val="24"/>
        </w:rPr>
        <w:t xml:space="preserve">sadaļas </w:t>
      </w:r>
      <w:r w:rsidR="00DD0964" w:rsidRPr="00C96390">
        <w:rPr>
          <w:rFonts w:ascii="Times New Roman" w:hAnsi="Times New Roman"/>
          <w:sz w:val="24"/>
          <w:szCs w:val="24"/>
        </w:rPr>
        <w:t xml:space="preserve">paredzētas </w:t>
      </w:r>
      <w:r w:rsidR="00D15994" w:rsidRPr="00C96390">
        <w:rPr>
          <w:rFonts w:ascii="Times New Roman" w:hAnsi="Times New Roman"/>
          <w:sz w:val="24"/>
          <w:szCs w:val="24"/>
        </w:rPr>
        <w:t>nosacījumiem detālplānojumu un to lokālplānojumu izstrādei, ar kuriem tiek grozīt</w:t>
      </w:r>
      <w:r w:rsidR="003A20DA" w:rsidRPr="00C96390">
        <w:rPr>
          <w:rFonts w:ascii="Times New Roman" w:hAnsi="Times New Roman"/>
          <w:sz w:val="24"/>
          <w:szCs w:val="24"/>
        </w:rPr>
        <w:t>s</w:t>
      </w:r>
      <w:r w:rsidR="00D15994" w:rsidRPr="00C96390">
        <w:rPr>
          <w:rFonts w:ascii="Times New Roman" w:hAnsi="Times New Roman"/>
          <w:sz w:val="24"/>
          <w:szCs w:val="24"/>
        </w:rPr>
        <w:t xml:space="preserve"> pašvaldības teritorijas plānojums, kā arī citas prasības, ierobežojumi un nosacījumi. Lūdzam ievērot noteikumu Nr.628 prasības un atbilstoši pārstrukturēt TIAN</w:t>
      </w:r>
      <w:r w:rsidR="000C4637" w:rsidRPr="00C96390">
        <w:rPr>
          <w:rFonts w:ascii="Times New Roman" w:hAnsi="Times New Roman"/>
          <w:sz w:val="24"/>
          <w:szCs w:val="24"/>
        </w:rPr>
        <w:t xml:space="preserve"> saturu</w:t>
      </w:r>
      <w:r w:rsidR="00C96ED1" w:rsidRPr="00C96390">
        <w:rPr>
          <w:rFonts w:ascii="Times New Roman" w:hAnsi="Times New Roman"/>
          <w:sz w:val="24"/>
          <w:szCs w:val="24"/>
        </w:rPr>
        <w:t>. Vienlaikus vēršam uzmanību, ka noteikumi Nr.628 nenosaka prasību obligāti pievienot spēkā esošo detālplānojumu sarakstu, kā to noteica iepriekšējie Ministru kabineta noteikumi. Lai izvairītos no juridiska rakstura pretrunām attiecībā uz šī saraksta aktualizēšanu, rekomendējam to iekļaut Paskaidrojuma rakstā.</w:t>
      </w:r>
    </w:p>
    <w:p w:rsidR="00C96390" w:rsidRDefault="007D595A" w:rsidP="00C96390">
      <w:pPr>
        <w:pStyle w:val="ae"/>
        <w:spacing w:line="276" w:lineRule="auto"/>
        <w:ind w:firstLine="709"/>
        <w:jc w:val="both"/>
        <w:rPr>
          <w:rFonts w:ascii="Times New Roman" w:hAnsi="Times New Roman"/>
          <w:sz w:val="24"/>
          <w:szCs w:val="24"/>
        </w:rPr>
      </w:pPr>
      <w:r w:rsidRPr="00C96390">
        <w:rPr>
          <w:rFonts w:ascii="Times New Roman" w:hAnsi="Times New Roman"/>
          <w:sz w:val="24"/>
          <w:szCs w:val="24"/>
        </w:rPr>
        <w:t xml:space="preserve">     </w:t>
      </w:r>
    </w:p>
    <w:p w:rsidR="00B663B1" w:rsidRPr="00C96390" w:rsidRDefault="007D595A" w:rsidP="00C96390">
      <w:pPr>
        <w:pStyle w:val="ae"/>
        <w:spacing w:line="276" w:lineRule="auto"/>
        <w:ind w:firstLine="709"/>
        <w:jc w:val="both"/>
        <w:rPr>
          <w:rFonts w:ascii="Times New Roman" w:hAnsi="Times New Roman"/>
          <w:sz w:val="24"/>
          <w:szCs w:val="24"/>
        </w:rPr>
      </w:pPr>
      <w:r w:rsidRPr="00C96390">
        <w:rPr>
          <w:rFonts w:ascii="Times New Roman" w:hAnsi="Times New Roman"/>
          <w:sz w:val="24"/>
          <w:szCs w:val="24"/>
        </w:rPr>
        <w:t xml:space="preserve"> </w:t>
      </w:r>
      <w:r w:rsidR="00B663B1" w:rsidRPr="00C96390">
        <w:rPr>
          <w:rFonts w:ascii="Times New Roman" w:hAnsi="Times New Roman"/>
          <w:sz w:val="24"/>
          <w:szCs w:val="24"/>
        </w:rPr>
        <w:t>Pamat</w:t>
      </w:r>
      <w:r w:rsidR="00144CE6" w:rsidRPr="00C96390">
        <w:rPr>
          <w:rFonts w:ascii="Times New Roman" w:hAnsi="Times New Roman"/>
          <w:sz w:val="24"/>
          <w:szCs w:val="24"/>
        </w:rPr>
        <w:t>o</w:t>
      </w:r>
      <w:r w:rsidR="00B663B1" w:rsidRPr="00C96390">
        <w:rPr>
          <w:rFonts w:ascii="Times New Roman" w:hAnsi="Times New Roman"/>
          <w:sz w:val="24"/>
          <w:szCs w:val="24"/>
        </w:rPr>
        <w:t xml:space="preserve">joties uz iepriekš minēto, </w:t>
      </w:r>
      <w:r w:rsidR="00C13906" w:rsidRPr="00C96390">
        <w:rPr>
          <w:rFonts w:ascii="Times New Roman" w:hAnsi="Times New Roman"/>
          <w:sz w:val="24"/>
          <w:szCs w:val="24"/>
        </w:rPr>
        <w:t xml:space="preserve">ministrija </w:t>
      </w:r>
      <w:r w:rsidR="00B663B1" w:rsidRPr="00C96390">
        <w:rPr>
          <w:rFonts w:ascii="Times New Roman" w:hAnsi="Times New Roman"/>
          <w:sz w:val="24"/>
          <w:szCs w:val="24"/>
        </w:rPr>
        <w:t>secin</w:t>
      </w:r>
      <w:r w:rsidR="00C13906" w:rsidRPr="00C96390">
        <w:rPr>
          <w:rFonts w:ascii="Times New Roman" w:hAnsi="Times New Roman"/>
          <w:sz w:val="24"/>
          <w:szCs w:val="24"/>
        </w:rPr>
        <w:t>a</w:t>
      </w:r>
      <w:r w:rsidR="00B663B1" w:rsidRPr="00C96390">
        <w:rPr>
          <w:rFonts w:ascii="Times New Roman" w:hAnsi="Times New Roman"/>
          <w:sz w:val="24"/>
          <w:szCs w:val="24"/>
        </w:rPr>
        <w:t xml:space="preserve">, ka izstrādājot </w:t>
      </w:r>
      <w:r w:rsidR="00C96ED1" w:rsidRPr="00C96390">
        <w:rPr>
          <w:rFonts w:ascii="Times New Roman" w:hAnsi="Times New Roman"/>
          <w:sz w:val="24"/>
          <w:szCs w:val="24"/>
        </w:rPr>
        <w:t xml:space="preserve">Jūrmalas </w:t>
      </w:r>
      <w:r w:rsidR="00B663B1" w:rsidRPr="00C96390">
        <w:rPr>
          <w:rFonts w:ascii="Times New Roman" w:hAnsi="Times New Roman"/>
          <w:sz w:val="24"/>
          <w:szCs w:val="24"/>
        </w:rPr>
        <w:t xml:space="preserve">TPG, pašvaldība nav </w:t>
      </w:r>
      <w:r w:rsidR="00DD0964" w:rsidRPr="00C96390">
        <w:rPr>
          <w:rFonts w:ascii="Times New Roman" w:hAnsi="Times New Roman"/>
          <w:sz w:val="24"/>
          <w:szCs w:val="24"/>
        </w:rPr>
        <w:t xml:space="preserve">pietiekoši </w:t>
      </w:r>
      <w:r w:rsidR="00B663B1" w:rsidRPr="00C96390">
        <w:rPr>
          <w:rFonts w:ascii="Times New Roman" w:hAnsi="Times New Roman"/>
          <w:sz w:val="24"/>
          <w:szCs w:val="24"/>
        </w:rPr>
        <w:t>izvērtējusi TIAN atbilstoši spēkā esošajiem normatīvajiem aktiem, tādējādi radot pretrunas</w:t>
      </w:r>
      <w:r w:rsidR="00456BBB" w:rsidRPr="00C96390">
        <w:rPr>
          <w:rFonts w:ascii="Times New Roman" w:hAnsi="Times New Roman"/>
          <w:sz w:val="24"/>
          <w:szCs w:val="24"/>
        </w:rPr>
        <w:t>.</w:t>
      </w:r>
      <w:r w:rsidR="00B663B1" w:rsidRPr="00C96390">
        <w:rPr>
          <w:rFonts w:ascii="Times New Roman" w:hAnsi="Times New Roman"/>
          <w:sz w:val="24"/>
          <w:szCs w:val="24"/>
        </w:rPr>
        <w:t xml:space="preserve"> </w:t>
      </w:r>
    </w:p>
    <w:p w:rsidR="00AC2F32" w:rsidRPr="00C96390" w:rsidRDefault="00AC2F32" w:rsidP="00C96390">
      <w:pPr>
        <w:spacing w:after="0"/>
        <w:ind w:firstLine="720"/>
        <w:jc w:val="both"/>
        <w:rPr>
          <w:rFonts w:ascii="Times New Roman" w:hAnsi="Times New Roman"/>
          <w:sz w:val="24"/>
          <w:szCs w:val="24"/>
        </w:rPr>
      </w:pPr>
      <w:r w:rsidRPr="00C96390">
        <w:rPr>
          <w:rFonts w:ascii="Times New Roman" w:hAnsi="Times New Roman"/>
          <w:sz w:val="24"/>
          <w:szCs w:val="24"/>
        </w:rPr>
        <w:t xml:space="preserve">Vienlaikus aicinām Jūrmalas pilsētas domi izvērtēt, kā TPG, lokālplānojumi un detālplānojumi iekļaujas Jūrmalas pilsētas attīstības stratēģijas noteiktajos pasākumos un kā tie veicina stratēģisko mērķu sasniegšanu un vai tie nav pretrunā ar Jūrmalas pilsētas attīstības stratēģijā 2010 -2030 iekļauto.  </w:t>
      </w:r>
    </w:p>
    <w:p w:rsidR="00DD0964" w:rsidRPr="00C96390" w:rsidRDefault="00456BBB" w:rsidP="00C96390">
      <w:pPr>
        <w:pStyle w:val="ae"/>
        <w:spacing w:line="276" w:lineRule="auto"/>
        <w:ind w:firstLine="709"/>
        <w:jc w:val="both"/>
        <w:rPr>
          <w:rFonts w:ascii="Times New Roman" w:hAnsi="Times New Roman"/>
          <w:sz w:val="24"/>
          <w:szCs w:val="24"/>
        </w:rPr>
      </w:pPr>
      <w:r w:rsidRPr="00C96390">
        <w:rPr>
          <w:rFonts w:ascii="Times New Roman" w:hAnsi="Times New Roman"/>
          <w:sz w:val="24"/>
          <w:szCs w:val="24"/>
        </w:rPr>
        <w:t xml:space="preserve"> </w:t>
      </w:r>
    </w:p>
    <w:p w:rsidR="00BD2580" w:rsidRPr="00C96390" w:rsidRDefault="00456BBB" w:rsidP="00C96390">
      <w:pPr>
        <w:pStyle w:val="ae"/>
        <w:spacing w:line="276" w:lineRule="auto"/>
        <w:ind w:firstLine="851"/>
        <w:jc w:val="both"/>
        <w:rPr>
          <w:rFonts w:ascii="Times New Roman" w:hAnsi="Times New Roman"/>
          <w:sz w:val="24"/>
          <w:szCs w:val="24"/>
        </w:rPr>
      </w:pPr>
      <w:r w:rsidRPr="00C96390">
        <w:rPr>
          <w:rFonts w:ascii="Times New Roman" w:hAnsi="Times New Roman"/>
          <w:sz w:val="24"/>
          <w:szCs w:val="24"/>
        </w:rPr>
        <w:t xml:space="preserve">Pamatojoties uz TAPL 26.panta pirmajā daļā noteikto, </w:t>
      </w:r>
      <w:r w:rsidRPr="00C96390">
        <w:rPr>
          <w:rFonts w:ascii="Times New Roman" w:hAnsi="Times New Roman"/>
          <w:sz w:val="24"/>
          <w:szCs w:val="24"/>
          <w:u w:val="single"/>
        </w:rPr>
        <w:t>m</w:t>
      </w:r>
      <w:r w:rsidR="00833DFB" w:rsidRPr="00C96390">
        <w:rPr>
          <w:rFonts w:ascii="Times New Roman" w:hAnsi="Times New Roman"/>
          <w:sz w:val="24"/>
          <w:szCs w:val="24"/>
          <w:u w:val="single"/>
        </w:rPr>
        <w:t xml:space="preserve">inistrija </w:t>
      </w:r>
      <w:r w:rsidR="00DD0964" w:rsidRPr="00C96390">
        <w:rPr>
          <w:rFonts w:ascii="Times New Roman" w:hAnsi="Times New Roman"/>
          <w:sz w:val="24"/>
          <w:szCs w:val="24"/>
          <w:u w:val="single"/>
        </w:rPr>
        <w:t>lūdz</w:t>
      </w:r>
      <w:r w:rsidR="00833DFB" w:rsidRPr="00C96390">
        <w:rPr>
          <w:rFonts w:ascii="Times New Roman" w:hAnsi="Times New Roman"/>
          <w:sz w:val="24"/>
          <w:szCs w:val="24"/>
          <w:u w:val="single"/>
        </w:rPr>
        <w:t xml:space="preserve"> Jūrmalas pilsētas domi atcelt saistošos noteikumus Nr.8 un veikt nepieciešamos </w:t>
      </w:r>
      <w:r w:rsidR="00490998" w:rsidRPr="00C96390">
        <w:rPr>
          <w:rFonts w:ascii="Times New Roman" w:hAnsi="Times New Roman"/>
          <w:sz w:val="24"/>
          <w:szCs w:val="24"/>
          <w:u w:val="single"/>
        </w:rPr>
        <w:t xml:space="preserve">precizējumus </w:t>
      </w:r>
      <w:r w:rsidR="007D595A" w:rsidRPr="00C96390">
        <w:rPr>
          <w:rFonts w:ascii="Times New Roman" w:hAnsi="Times New Roman"/>
          <w:sz w:val="24"/>
          <w:szCs w:val="24"/>
          <w:u w:val="single"/>
        </w:rPr>
        <w:t>atbilstoši spēkā esošajiem normatīvajiem aktiem</w:t>
      </w:r>
      <w:r w:rsidR="007D595A" w:rsidRPr="00C96390">
        <w:rPr>
          <w:rFonts w:ascii="Times New Roman" w:hAnsi="Times New Roman"/>
          <w:sz w:val="24"/>
          <w:szCs w:val="24"/>
        </w:rPr>
        <w:t>, tai skaitā</w:t>
      </w:r>
      <w:r w:rsidR="00833DFB" w:rsidRPr="00C96390">
        <w:rPr>
          <w:rFonts w:ascii="Times New Roman" w:hAnsi="Times New Roman"/>
          <w:sz w:val="24"/>
          <w:szCs w:val="24"/>
        </w:rPr>
        <w:t xml:space="preserve"> </w:t>
      </w:r>
      <w:r w:rsidR="007D595A" w:rsidRPr="00C96390">
        <w:rPr>
          <w:rFonts w:ascii="Times New Roman" w:hAnsi="Times New Roman"/>
          <w:sz w:val="24"/>
          <w:szCs w:val="24"/>
        </w:rPr>
        <w:t xml:space="preserve">Būvniecības likumam, </w:t>
      </w:r>
      <w:r w:rsidR="00DD0964" w:rsidRPr="00C96390">
        <w:rPr>
          <w:rFonts w:ascii="Times New Roman" w:hAnsi="Times New Roman"/>
          <w:sz w:val="24"/>
          <w:szCs w:val="24"/>
        </w:rPr>
        <w:t xml:space="preserve">un </w:t>
      </w:r>
      <w:r w:rsidR="00833DFB" w:rsidRPr="00C96390">
        <w:rPr>
          <w:rFonts w:ascii="Times New Roman" w:hAnsi="Times New Roman"/>
          <w:sz w:val="24"/>
          <w:szCs w:val="24"/>
        </w:rPr>
        <w:t>divu nedēļu laikā inform</w:t>
      </w:r>
      <w:r w:rsidR="00DD0964" w:rsidRPr="00C96390">
        <w:rPr>
          <w:rFonts w:ascii="Times New Roman" w:hAnsi="Times New Roman"/>
          <w:sz w:val="24"/>
          <w:szCs w:val="24"/>
        </w:rPr>
        <w:t>ē</w:t>
      </w:r>
      <w:r w:rsidR="00833DFB" w:rsidRPr="00C96390">
        <w:rPr>
          <w:rFonts w:ascii="Times New Roman" w:hAnsi="Times New Roman"/>
          <w:sz w:val="24"/>
          <w:szCs w:val="24"/>
        </w:rPr>
        <w:t xml:space="preserve">t ministriju par pieņemto lēmumu. </w:t>
      </w:r>
    </w:p>
    <w:p w:rsidR="00833DFB" w:rsidRPr="00C96390" w:rsidRDefault="00833DFB" w:rsidP="00833DFB">
      <w:pPr>
        <w:pStyle w:val="ae"/>
        <w:rPr>
          <w:rFonts w:ascii="Times New Roman" w:hAnsi="Times New Roman"/>
          <w:sz w:val="24"/>
          <w:szCs w:val="24"/>
        </w:rPr>
      </w:pPr>
    </w:p>
    <w:p w:rsidR="00DD0964" w:rsidRPr="00C96390" w:rsidRDefault="00DD0964" w:rsidP="00833DFB">
      <w:pPr>
        <w:pStyle w:val="ae"/>
        <w:rPr>
          <w:rFonts w:ascii="Times New Roman" w:hAnsi="Times New Roman"/>
          <w:sz w:val="24"/>
          <w:szCs w:val="24"/>
        </w:rPr>
      </w:pPr>
    </w:p>
    <w:p w:rsidR="00466CE5" w:rsidRPr="00C96390" w:rsidRDefault="00466CE5" w:rsidP="00855118">
      <w:pPr>
        <w:spacing w:after="0" w:line="360" w:lineRule="auto"/>
        <w:jc w:val="both"/>
        <w:rPr>
          <w:rFonts w:ascii="Times New Roman" w:hAnsi="Times New Roman"/>
          <w:sz w:val="24"/>
          <w:szCs w:val="24"/>
        </w:rPr>
      </w:pPr>
      <w:r w:rsidRPr="00C96390">
        <w:rPr>
          <w:rFonts w:ascii="Times New Roman" w:hAnsi="Times New Roman"/>
          <w:sz w:val="24"/>
          <w:szCs w:val="24"/>
        </w:rPr>
        <w:t>Ar cieņu,</w:t>
      </w:r>
    </w:p>
    <w:p w:rsidR="00466CE5" w:rsidRPr="00C96390" w:rsidRDefault="00466CE5" w:rsidP="00466CE5">
      <w:pPr>
        <w:spacing w:after="0" w:line="360" w:lineRule="auto"/>
        <w:jc w:val="both"/>
      </w:pPr>
      <w:r w:rsidRPr="00C96390">
        <w:rPr>
          <w:rFonts w:ascii="Times New Roman" w:hAnsi="Times New Roman"/>
          <w:sz w:val="24"/>
          <w:szCs w:val="24"/>
        </w:rPr>
        <w:t>valsts sekretār</w:t>
      </w:r>
      <w:r w:rsidR="00801542">
        <w:rPr>
          <w:rFonts w:ascii="Times New Roman" w:hAnsi="Times New Roman"/>
          <w:sz w:val="24"/>
          <w:szCs w:val="24"/>
        </w:rPr>
        <w:t>s</w:t>
      </w:r>
      <w:r w:rsidRPr="00C96390">
        <w:rPr>
          <w:rFonts w:ascii="Times New Roman" w:hAnsi="Times New Roman"/>
          <w:sz w:val="24"/>
          <w:szCs w:val="24"/>
        </w:rPr>
        <w:tab/>
      </w:r>
      <w:r w:rsidRPr="00C96390">
        <w:rPr>
          <w:rFonts w:ascii="Times New Roman" w:hAnsi="Times New Roman"/>
          <w:sz w:val="24"/>
          <w:szCs w:val="24"/>
        </w:rPr>
        <w:tab/>
      </w:r>
      <w:r w:rsidRPr="00C96390">
        <w:rPr>
          <w:rFonts w:ascii="Times New Roman" w:hAnsi="Times New Roman"/>
          <w:sz w:val="24"/>
          <w:szCs w:val="24"/>
        </w:rPr>
        <w:tab/>
      </w:r>
      <w:r w:rsidRPr="00C96390">
        <w:rPr>
          <w:rFonts w:ascii="Times New Roman" w:hAnsi="Times New Roman"/>
          <w:sz w:val="24"/>
          <w:szCs w:val="24"/>
        </w:rPr>
        <w:tab/>
      </w:r>
      <w:r w:rsidRPr="00C96390">
        <w:rPr>
          <w:rFonts w:ascii="Times New Roman" w:hAnsi="Times New Roman"/>
          <w:sz w:val="24"/>
          <w:szCs w:val="24"/>
        </w:rPr>
        <w:tab/>
      </w:r>
      <w:r w:rsidRPr="00C96390">
        <w:rPr>
          <w:rFonts w:ascii="Times New Roman" w:hAnsi="Times New Roman"/>
          <w:sz w:val="24"/>
          <w:szCs w:val="24"/>
        </w:rPr>
        <w:tab/>
      </w:r>
      <w:r w:rsidRPr="00C96390">
        <w:rPr>
          <w:rFonts w:ascii="Times New Roman" w:hAnsi="Times New Roman"/>
          <w:sz w:val="24"/>
          <w:szCs w:val="24"/>
        </w:rPr>
        <w:tab/>
      </w:r>
      <w:r w:rsidR="00801542">
        <w:rPr>
          <w:rFonts w:ascii="Times New Roman" w:hAnsi="Times New Roman"/>
          <w:sz w:val="24"/>
          <w:szCs w:val="24"/>
        </w:rPr>
        <w:tab/>
        <w:t xml:space="preserve">R.Muciņš </w:t>
      </w:r>
    </w:p>
    <w:p w:rsidR="000C4637" w:rsidRPr="00C96390" w:rsidRDefault="000C4637" w:rsidP="00345CF5">
      <w:pPr>
        <w:spacing w:after="0" w:line="240" w:lineRule="auto"/>
        <w:rPr>
          <w:rFonts w:ascii="Times New Roman" w:hAnsi="Times New Roman"/>
          <w:sz w:val="20"/>
          <w:szCs w:val="20"/>
        </w:rPr>
      </w:pPr>
    </w:p>
    <w:p w:rsidR="00C96390" w:rsidRPr="00C96390" w:rsidRDefault="00C96390" w:rsidP="00345CF5">
      <w:pPr>
        <w:spacing w:after="0" w:line="240" w:lineRule="auto"/>
        <w:rPr>
          <w:rFonts w:ascii="Times New Roman" w:hAnsi="Times New Roman"/>
          <w:sz w:val="20"/>
          <w:szCs w:val="20"/>
        </w:rPr>
      </w:pPr>
    </w:p>
    <w:p w:rsidR="00345CF5" w:rsidRPr="00C96390" w:rsidRDefault="00C96ED1" w:rsidP="00345CF5">
      <w:pPr>
        <w:spacing w:after="0" w:line="240" w:lineRule="auto"/>
        <w:rPr>
          <w:rFonts w:ascii="Times New Roman" w:hAnsi="Times New Roman"/>
          <w:sz w:val="20"/>
          <w:szCs w:val="20"/>
        </w:rPr>
      </w:pPr>
      <w:r w:rsidRPr="00C96390">
        <w:rPr>
          <w:rFonts w:ascii="Times New Roman" w:hAnsi="Times New Roman"/>
          <w:sz w:val="20"/>
          <w:szCs w:val="20"/>
        </w:rPr>
        <w:t>I.Valdmane</w:t>
      </w:r>
    </w:p>
    <w:p w:rsidR="00DD0964" w:rsidRPr="00C96390" w:rsidRDefault="00345CF5" w:rsidP="00345CF5">
      <w:pPr>
        <w:spacing w:after="0" w:line="240" w:lineRule="auto"/>
        <w:rPr>
          <w:rFonts w:ascii="Times New Roman" w:hAnsi="Times New Roman"/>
          <w:sz w:val="20"/>
          <w:szCs w:val="20"/>
        </w:rPr>
      </w:pPr>
      <w:r w:rsidRPr="00C96390">
        <w:rPr>
          <w:rFonts w:ascii="Times New Roman" w:hAnsi="Times New Roman"/>
          <w:sz w:val="20"/>
          <w:szCs w:val="20"/>
        </w:rPr>
        <w:t>67026</w:t>
      </w:r>
      <w:r w:rsidR="00C96ED1" w:rsidRPr="00C96390">
        <w:rPr>
          <w:rFonts w:ascii="Times New Roman" w:hAnsi="Times New Roman"/>
          <w:sz w:val="20"/>
          <w:szCs w:val="20"/>
        </w:rPr>
        <w:t>921</w:t>
      </w:r>
    </w:p>
    <w:p w:rsidR="00345CF5" w:rsidRPr="00C96390" w:rsidRDefault="00611F98" w:rsidP="00345CF5">
      <w:pPr>
        <w:spacing w:after="0" w:line="240" w:lineRule="auto"/>
        <w:rPr>
          <w:rStyle w:val="a7"/>
          <w:rFonts w:ascii="Times New Roman" w:hAnsi="Times New Roman"/>
          <w:color w:val="auto"/>
          <w:sz w:val="20"/>
          <w:szCs w:val="20"/>
        </w:rPr>
      </w:pPr>
      <w:hyperlink r:id="rId12" w:history="1">
        <w:r w:rsidR="00C96ED1" w:rsidRPr="00C96390">
          <w:rPr>
            <w:rStyle w:val="a7"/>
            <w:rFonts w:ascii="Times New Roman" w:hAnsi="Times New Roman"/>
            <w:color w:val="auto"/>
            <w:sz w:val="20"/>
            <w:szCs w:val="20"/>
          </w:rPr>
          <w:t>ilma.valdmane@varam.gov.lv</w:t>
        </w:r>
      </w:hyperlink>
    </w:p>
    <w:p w:rsidR="00C96390" w:rsidRPr="00C96390" w:rsidRDefault="00C96390" w:rsidP="00345CF5">
      <w:pPr>
        <w:spacing w:after="0" w:line="240" w:lineRule="auto"/>
        <w:rPr>
          <w:rStyle w:val="a7"/>
          <w:rFonts w:ascii="Times New Roman" w:hAnsi="Times New Roman"/>
          <w:color w:val="auto"/>
          <w:sz w:val="20"/>
          <w:szCs w:val="20"/>
        </w:rPr>
      </w:pPr>
    </w:p>
    <w:p w:rsidR="00C96390" w:rsidRPr="00C96390" w:rsidRDefault="00C96390" w:rsidP="00345CF5">
      <w:pPr>
        <w:spacing w:after="0" w:line="240" w:lineRule="auto"/>
        <w:rPr>
          <w:rStyle w:val="a7"/>
          <w:rFonts w:ascii="Times New Roman" w:hAnsi="Times New Roman"/>
          <w:color w:val="auto"/>
          <w:sz w:val="20"/>
          <w:szCs w:val="20"/>
        </w:rPr>
      </w:pPr>
    </w:p>
    <w:p w:rsidR="00C96390" w:rsidRPr="00C96390" w:rsidRDefault="00C96390" w:rsidP="00345CF5">
      <w:pPr>
        <w:spacing w:after="0" w:line="240" w:lineRule="auto"/>
        <w:rPr>
          <w:rStyle w:val="a7"/>
          <w:rFonts w:ascii="Times New Roman" w:hAnsi="Times New Roman"/>
          <w:color w:val="auto"/>
          <w:sz w:val="20"/>
          <w:szCs w:val="20"/>
        </w:rPr>
      </w:pPr>
    </w:p>
    <w:p w:rsidR="00B959BC" w:rsidRPr="00C96390" w:rsidRDefault="00B959BC" w:rsidP="00B959BC">
      <w:pPr>
        <w:tabs>
          <w:tab w:val="center" w:pos="4320"/>
          <w:tab w:val="right" w:pos="8640"/>
        </w:tabs>
        <w:spacing w:after="0" w:line="240" w:lineRule="auto"/>
        <w:rPr>
          <w:sz w:val="20"/>
          <w:szCs w:val="20"/>
        </w:rPr>
      </w:pPr>
      <w:r w:rsidRPr="00C96390">
        <w:rPr>
          <w:sz w:val="20"/>
          <w:szCs w:val="20"/>
        </w:rPr>
        <w:lastRenderedPageBreak/>
        <w:t>ŠIS DOKUMENTS IR ELEKTRONISKI PARAKSTĪTS AR DROŠU ELEKTRONISKO PARAKSTU UN SATUR LAIKA ZĪMOGU</w:t>
      </w:r>
    </w:p>
    <w:p w:rsidR="002E1474" w:rsidRPr="00C96390" w:rsidRDefault="002E1474" w:rsidP="00954D5A">
      <w:pPr>
        <w:rPr>
          <w:rFonts w:ascii="Times New Roman" w:hAnsi="Times New Roman"/>
          <w:sz w:val="24"/>
          <w:szCs w:val="24"/>
        </w:rPr>
      </w:pPr>
    </w:p>
    <w:sectPr w:rsidR="002E1474" w:rsidRPr="00C96390" w:rsidSect="000C4637">
      <w:headerReference w:type="default" r:id="rId13"/>
      <w:headerReference w:type="first" r:id="rId14"/>
      <w:footerReference w:type="first" r:id="rId15"/>
      <w:type w:val="continuous"/>
      <w:pgSz w:w="11920" w:h="16840"/>
      <w:pgMar w:top="1134" w:right="851" w:bottom="993"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42" w:rsidRDefault="00537842">
      <w:pPr>
        <w:spacing w:after="0" w:line="240" w:lineRule="auto"/>
      </w:pPr>
      <w:r>
        <w:separator/>
      </w:r>
    </w:p>
  </w:endnote>
  <w:endnote w:type="continuationSeparator" w:id="0">
    <w:p w:rsidR="00537842" w:rsidRDefault="0053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E5" w:rsidRPr="00466CE5" w:rsidRDefault="007E35C4" w:rsidP="00466CE5">
    <w:pPr>
      <w:tabs>
        <w:tab w:val="center" w:pos="4320"/>
        <w:tab w:val="right" w:pos="8640"/>
      </w:tabs>
      <w:spacing w:after="0" w:line="240" w:lineRule="auto"/>
      <w:rPr>
        <w:sz w:val="20"/>
        <w:szCs w:val="20"/>
      </w:rPr>
    </w:pPr>
    <w:r>
      <w:rPr>
        <w:sz w:val="20"/>
        <w:szCs w:val="20"/>
      </w:rPr>
      <w:t xml:space="preserve"> </w:t>
    </w:r>
  </w:p>
  <w:p w:rsidR="00466CE5" w:rsidRDefault="00466C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42" w:rsidRDefault="00537842">
      <w:pPr>
        <w:spacing w:after="0" w:line="240" w:lineRule="auto"/>
      </w:pPr>
      <w:r>
        <w:separator/>
      </w:r>
    </w:p>
  </w:footnote>
  <w:footnote w:type="continuationSeparator" w:id="0">
    <w:p w:rsidR="00537842" w:rsidRDefault="00537842">
      <w:pPr>
        <w:spacing w:after="0" w:line="240" w:lineRule="auto"/>
      </w:pPr>
      <w:r>
        <w:continuationSeparator/>
      </w:r>
    </w:p>
  </w:footnote>
  <w:footnote w:id="1">
    <w:p w:rsidR="00D13CC3" w:rsidRPr="000D6CBB" w:rsidRDefault="00D13CC3" w:rsidP="000D6CBB">
      <w:pPr>
        <w:pStyle w:val="af5"/>
        <w:jc w:val="both"/>
        <w:rPr>
          <w:rFonts w:ascii="Times New Roman" w:hAnsi="Times New Roman"/>
        </w:rPr>
      </w:pPr>
      <w:r>
        <w:rPr>
          <w:rStyle w:val="af7"/>
        </w:rPr>
        <w:footnoteRef/>
      </w:r>
      <w:r>
        <w:t xml:space="preserve"> E</w:t>
      </w:r>
      <w:r w:rsidRPr="000D6CBB">
        <w:rPr>
          <w:rFonts w:ascii="Times New Roman" w:hAnsi="Times New Roman"/>
        </w:rPr>
        <w:t>.Semeņuka Personas tiesības pašvaldības teritorijas plānošanas procesā: likums un prakse. 2014.gada 2.septembris, Jurista vārds Nr.34 (836)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F5" w:rsidRDefault="00611F98">
    <w:pPr>
      <w:pStyle w:val="a3"/>
      <w:jc w:val="center"/>
    </w:pPr>
    <w:r>
      <w:fldChar w:fldCharType="begin"/>
    </w:r>
    <w:r w:rsidR="00345CF5">
      <w:instrText xml:space="preserve"> PAGE   \* MERGEFORMAT </w:instrText>
    </w:r>
    <w:r>
      <w:fldChar w:fldCharType="separate"/>
    </w:r>
    <w:r w:rsidR="00E068BC">
      <w:rPr>
        <w:noProof/>
      </w:rPr>
      <w:t>6</w:t>
    </w:r>
    <w:r>
      <w:rPr>
        <w:noProof/>
      </w:rPr>
      <w:fldChar w:fldCharType="end"/>
    </w:r>
  </w:p>
  <w:p w:rsidR="00345CF5" w:rsidRDefault="00345C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Default="00B82CCF" w:rsidP="00B82CCF">
    <w:pPr>
      <w:pStyle w:val="a3"/>
      <w:rPr>
        <w:rFonts w:ascii="Times New Roman" w:hAnsi="Times New Roman"/>
      </w:rPr>
    </w:pPr>
  </w:p>
  <w:p w:rsidR="00B82CCF" w:rsidRPr="00815277" w:rsidRDefault="0066474D" w:rsidP="00B82CCF">
    <w:pPr>
      <w:pStyle w:val="a3"/>
      <w:rPr>
        <w:rFonts w:ascii="Times New Roman" w:hAnsi="Times New Roman"/>
      </w:rPr>
    </w:pPr>
    <w:r>
      <w:rPr>
        <w:noProof/>
        <w:lang w:val="ru-RU" w:eastAsia="ru-RU"/>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1033145"/>
                  </a:xfrm>
                  <a:prstGeom prst="rect">
                    <a:avLst/>
                  </a:prstGeom>
                  <a:noFill/>
                  <a:ln>
                    <a:noFill/>
                  </a:ln>
                </pic:spPr>
              </pic:pic>
            </a:graphicData>
          </a:graphic>
        </wp:anchor>
      </w:drawing>
    </w:r>
    <w:r w:rsidR="00611F98" w:rsidRPr="00611F98">
      <w:rPr>
        <w:noProof/>
        <w:lang w:eastAsia="lv-LV"/>
      </w:rPr>
      <w:pict>
        <v:shapetype id="_x0000_t202" coordsize="21600,21600" o:spt="202" path="m,l,21600r21600,l21600,xe">
          <v:stroke joinstyle="miter"/>
          <v:path gradientshapeok="t" o:connecttype="rect"/>
        </v:shapetype>
        <v:shape id="Text Box 43" o:spid="_x0000_s4099"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82CCF" w:rsidRDefault="00B82CCF"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 iela 25, Rīga, LV-1494, tālr. 67026533, fakss 67820442, e-pasts pasts@varam.gov.lv, www.varam.gov.lv</w:t>
                </w:r>
              </w:p>
            </w:txbxContent>
          </v:textbox>
          <w10:wrap anchorx="page" anchory="page"/>
        </v:shape>
      </w:pict>
    </w:r>
    <w:r w:rsidR="00611F98" w:rsidRPr="00611F98">
      <w:rPr>
        <w:noProof/>
        <w:lang w:eastAsia="lv-LV"/>
      </w:rPr>
      <w:pict>
        <v:group id="Group 41" o:spid="_x0000_s4097"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4098"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B82CCF" w:rsidRDefault="00B82C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1CC45409"/>
    <w:multiLevelType w:val="hybridMultilevel"/>
    <w:tmpl w:val="563E1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3A074D"/>
    <w:multiLevelType w:val="hybridMultilevel"/>
    <w:tmpl w:val="BFE41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5172DC"/>
    <w:multiLevelType w:val="hybridMultilevel"/>
    <w:tmpl w:val="5B30C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2E1474"/>
    <w:rsid w:val="00002456"/>
    <w:rsid w:val="00006384"/>
    <w:rsid w:val="000222D6"/>
    <w:rsid w:val="00030349"/>
    <w:rsid w:val="000527DC"/>
    <w:rsid w:val="00072655"/>
    <w:rsid w:val="00085681"/>
    <w:rsid w:val="000A0827"/>
    <w:rsid w:val="000A4EEA"/>
    <w:rsid w:val="000A6362"/>
    <w:rsid w:val="000B1C1C"/>
    <w:rsid w:val="000C4637"/>
    <w:rsid w:val="000D6CBB"/>
    <w:rsid w:val="00100ABE"/>
    <w:rsid w:val="001017C3"/>
    <w:rsid w:val="0012346F"/>
    <w:rsid w:val="00124173"/>
    <w:rsid w:val="00144CE6"/>
    <w:rsid w:val="00193AF1"/>
    <w:rsid w:val="00200325"/>
    <w:rsid w:val="00222062"/>
    <w:rsid w:val="00222A7A"/>
    <w:rsid w:val="00244519"/>
    <w:rsid w:val="002556FF"/>
    <w:rsid w:val="00275B9E"/>
    <w:rsid w:val="0027707C"/>
    <w:rsid w:val="00286E71"/>
    <w:rsid w:val="002B3077"/>
    <w:rsid w:val="002C43DF"/>
    <w:rsid w:val="002E1474"/>
    <w:rsid w:val="003049C9"/>
    <w:rsid w:val="00335032"/>
    <w:rsid w:val="00345CF5"/>
    <w:rsid w:val="003571EC"/>
    <w:rsid w:val="003606E5"/>
    <w:rsid w:val="003931A5"/>
    <w:rsid w:val="00394C6F"/>
    <w:rsid w:val="003A1818"/>
    <w:rsid w:val="003A20DA"/>
    <w:rsid w:val="003C2AAF"/>
    <w:rsid w:val="003D1AE3"/>
    <w:rsid w:val="003E43E4"/>
    <w:rsid w:val="004347D5"/>
    <w:rsid w:val="00450C00"/>
    <w:rsid w:val="00456BBB"/>
    <w:rsid w:val="00457809"/>
    <w:rsid w:val="00466CE5"/>
    <w:rsid w:val="004825BC"/>
    <w:rsid w:val="00485E9D"/>
    <w:rsid w:val="00490624"/>
    <w:rsid w:val="00490998"/>
    <w:rsid w:val="00493308"/>
    <w:rsid w:val="004969E7"/>
    <w:rsid w:val="004D2EC9"/>
    <w:rsid w:val="004E277F"/>
    <w:rsid w:val="004F24E6"/>
    <w:rsid w:val="005310E2"/>
    <w:rsid w:val="00535564"/>
    <w:rsid w:val="00537842"/>
    <w:rsid w:val="00570D9C"/>
    <w:rsid w:val="00590397"/>
    <w:rsid w:val="00611F98"/>
    <w:rsid w:val="00623E62"/>
    <w:rsid w:val="00663C3A"/>
    <w:rsid w:val="0066474D"/>
    <w:rsid w:val="00686365"/>
    <w:rsid w:val="00691C5F"/>
    <w:rsid w:val="00694B3D"/>
    <w:rsid w:val="006C1639"/>
    <w:rsid w:val="006F503F"/>
    <w:rsid w:val="00716AC1"/>
    <w:rsid w:val="00747CCB"/>
    <w:rsid w:val="00753224"/>
    <w:rsid w:val="00765469"/>
    <w:rsid w:val="007704BD"/>
    <w:rsid w:val="007931A0"/>
    <w:rsid w:val="007B0E3C"/>
    <w:rsid w:val="007B3BA5"/>
    <w:rsid w:val="007B48EC"/>
    <w:rsid w:val="007C0578"/>
    <w:rsid w:val="007D4B64"/>
    <w:rsid w:val="007D595A"/>
    <w:rsid w:val="007E35C4"/>
    <w:rsid w:val="007E4D1F"/>
    <w:rsid w:val="007F4092"/>
    <w:rsid w:val="00801542"/>
    <w:rsid w:val="00815277"/>
    <w:rsid w:val="00833DFB"/>
    <w:rsid w:val="00846E8F"/>
    <w:rsid w:val="0085193E"/>
    <w:rsid w:val="00853695"/>
    <w:rsid w:val="00855118"/>
    <w:rsid w:val="00855A34"/>
    <w:rsid w:val="00857F03"/>
    <w:rsid w:val="00876C21"/>
    <w:rsid w:val="00896117"/>
    <w:rsid w:val="008C2390"/>
    <w:rsid w:val="00912E94"/>
    <w:rsid w:val="00941623"/>
    <w:rsid w:val="00945512"/>
    <w:rsid w:val="00945A11"/>
    <w:rsid w:val="00954D5A"/>
    <w:rsid w:val="009637AD"/>
    <w:rsid w:val="00975EE2"/>
    <w:rsid w:val="00984C64"/>
    <w:rsid w:val="00992143"/>
    <w:rsid w:val="00A233B9"/>
    <w:rsid w:val="00A23CFB"/>
    <w:rsid w:val="00A37CF1"/>
    <w:rsid w:val="00A41282"/>
    <w:rsid w:val="00A47EEA"/>
    <w:rsid w:val="00A86449"/>
    <w:rsid w:val="00A902F4"/>
    <w:rsid w:val="00AC2F32"/>
    <w:rsid w:val="00AF4232"/>
    <w:rsid w:val="00B44BC5"/>
    <w:rsid w:val="00B663B1"/>
    <w:rsid w:val="00B82CCF"/>
    <w:rsid w:val="00B959BC"/>
    <w:rsid w:val="00BD2580"/>
    <w:rsid w:val="00C13906"/>
    <w:rsid w:val="00C2136E"/>
    <w:rsid w:val="00C27521"/>
    <w:rsid w:val="00C4187B"/>
    <w:rsid w:val="00C47F57"/>
    <w:rsid w:val="00C74683"/>
    <w:rsid w:val="00C85CD9"/>
    <w:rsid w:val="00C96390"/>
    <w:rsid w:val="00C96ED1"/>
    <w:rsid w:val="00CB622D"/>
    <w:rsid w:val="00CE2FF6"/>
    <w:rsid w:val="00CE5755"/>
    <w:rsid w:val="00CE6BCA"/>
    <w:rsid w:val="00D13CC3"/>
    <w:rsid w:val="00D15994"/>
    <w:rsid w:val="00D21FA6"/>
    <w:rsid w:val="00D30CAF"/>
    <w:rsid w:val="00D46A84"/>
    <w:rsid w:val="00D55B4B"/>
    <w:rsid w:val="00D65AC1"/>
    <w:rsid w:val="00DA4887"/>
    <w:rsid w:val="00DA5A9C"/>
    <w:rsid w:val="00DC0721"/>
    <w:rsid w:val="00DD0964"/>
    <w:rsid w:val="00E068BC"/>
    <w:rsid w:val="00E259A0"/>
    <w:rsid w:val="00E26D3F"/>
    <w:rsid w:val="00E365CE"/>
    <w:rsid w:val="00E80A25"/>
    <w:rsid w:val="00EB0450"/>
    <w:rsid w:val="00EB609E"/>
    <w:rsid w:val="00F22C8D"/>
    <w:rsid w:val="00F251DB"/>
    <w:rsid w:val="00F25433"/>
    <w:rsid w:val="00F60586"/>
    <w:rsid w:val="00F74877"/>
    <w:rsid w:val="00F8400B"/>
    <w:rsid w:val="00F91770"/>
    <w:rsid w:val="00F94574"/>
    <w:rsid w:val="00FE25DB"/>
    <w:rsid w:val="00FE483D"/>
    <w:rsid w:val="00FF5E2B"/>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277"/>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815277"/>
  </w:style>
  <w:style w:type="paragraph" w:styleId="a5">
    <w:name w:val="footer"/>
    <w:basedOn w:val="a"/>
    <w:link w:val="a6"/>
    <w:uiPriority w:val="99"/>
    <w:unhideWhenUsed/>
    <w:rsid w:val="00815277"/>
    <w:pPr>
      <w:tabs>
        <w:tab w:val="center" w:pos="4320"/>
        <w:tab w:val="right" w:pos="8640"/>
      </w:tabs>
      <w:spacing w:after="0" w:line="240" w:lineRule="auto"/>
    </w:pPr>
  </w:style>
  <w:style w:type="character" w:customStyle="1" w:styleId="a6">
    <w:name w:val="Нижний колонтитул Знак"/>
    <w:basedOn w:val="a0"/>
    <w:link w:val="a5"/>
    <w:uiPriority w:val="99"/>
    <w:rsid w:val="00815277"/>
  </w:style>
  <w:style w:type="character" w:customStyle="1" w:styleId="body1">
    <w:name w:val="body1"/>
    <w:rsid w:val="00D21FA6"/>
    <w:rPr>
      <w:rFonts w:ascii="Verdana" w:hAnsi="Verdana" w:hint="default"/>
      <w:color w:val="000000"/>
      <w:sz w:val="14"/>
      <w:szCs w:val="14"/>
    </w:rPr>
  </w:style>
  <w:style w:type="character" w:styleId="a7">
    <w:name w:val="Hyperlink"/>
    <w:uiPriority w:val="99"/>
    <w:unhideWhenUsed/>
    <w:rsid w:val="00D21FA6"/>
    <w:rPr>
      <w:color w:val="0000FF"/>
      <w:u w:val="single"/>
    </w:rPr>
  </w:style>
  <w:style w:type="paragraph" w:styleId="a8">
    <w:name w:val="Plain Text"/>
    <w:basedOn w:val="a"/>
    <w:link w:val="a9"/>
    <w:uiPriority w:val="99"/>
    <w:semiHidden/>
    <w:unhideWhenUsed/>
    <w:rsid w:val="00D21FA6"/>
    <w:pPr>
      <w:widowControl/>
      <w:spacing w:after="0" w:line="240" w:lineRule="auto"/>
    </w:pPr>
    <w:rPr>
      <w:szCs w:val="21"/>
    </w:rPr>
  </w:style>
  <w:style w:type="character" w:customStyle="1" w:styleId="a9">
    <w:name w:val="Текст Знак"/>
    <w:link w:val="a8"/>
    <w:uiPriority w:val="99"/>
    <w:semiHidden/>
    <w:rsid w:val="00D21FA6"/>
    <w:rPr>
      <w:rFonts w:ascii="Calibri" w:eastAsia="Calibri" w:hAnsi="Calibri" w:cs="Times New Roman"/>
      <w:szCs w:val="21"/>
      <w:lang w:val="lv-LV"/>
    </w:rPr>
  </w:style>
  <w:style w:type="paragraph" w:styleId="aa">
    <w:name w:val="Balloon Text"/>
    <w:basedOn w:val="a"/>
    <w:link w:val="ab"/>
    <w:uiPriority w:val="99"/>
    <w:semiHidden/>
    <w:unhideWhenUsed/>
    <w:rsid w:val="0003034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0349"/>
    <w:rPr>
      <w:rFonts w:ascii="Tahoma" w:hAnsi="Tahoma" w:cs="Tahoma"/>
      <w:sz w:val="16"/>
      <w:szCs w:val="16"/>
    </w:rPr>
  </w:style>
  <w:style w:type="paragraph" w:styleId="ac">
    <w:name w:val="Body Text Indent"/>
    <w:basedOn w:val="a"/>
    <w:link w:val="ad"/>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ad">
    <w:name w:val="Основной текст с отступом Знак"/>
    <w:link w:val="ac"/>
    <w:uiPriority w:val="99"/>
    <w:rsid w:val="00E80A25"/>
    <w:rPr>
      <w:rFonts w:ascii="Times New Roman" w:eastAsia="Times New Roman" w:hAnsi="Times New Roman"/>
      <w:lang w:eastAsia="en-US"/>
    </w:rPr>
  </w:style>
  <w:style w:type="paragraph" w:customStyle="1" w:styleId="tv213">
    <w:name w:val="tv213"/>
    <w:basedOn w:val="a"/>
    <w:rsid w:val="00853695"/>
    <w:pPr>
      <w:widowControl/>
      <w:spacing w:before="100" w:beforeAutospacing="1" w:after="100" w:afterAutospacing="1" w:line="240" w:lineRule="auto"/>
    </w:pPr>
    <w:rPr>
      <w:rFonts w:ascii="Times" w:hAnsi="Times"/>
      <w:sz w:val="20"/>
      <w:szCs w:val="20"/>
      <w:lang w:val="en-US"/>
    </w:rPr>
  </w:style>
  <w:style w:type="paragraph" w:styleId="ae">
    <w:name w:val="No Spacing"/>
    <w:uiPriority w:val="1"/>
    <w:qFormat/>
    <w:rsid w:val="00B663B1"/>
    <w:pPr>
      <w:widowControl w:val="0"/>
    </w:pPr>
    <w:rPr>
      <w:sz w:val="22"/>
      <w:szCs w:val="22"/>
      <w:lang w:eastAsia="en-US"/>
    </w:rPr>
  </w:style>
  <w:style w:type="paragraph" w:styleId="af">
    <w:name w:val="List Paragraph"/>
    <w:basedOn w:val="a"/>
    <w:uiPriority w:val="34"/>
    <w:qFormat/>
    <w:rsid w:val="00C4187B"/>
    <w:pPr>
      <w:ind w:left="720"/>
      <w:contextualSpacing/>
    </w:pPr>
  </w:style>
  <w:style w:type="character" w:styleId="af0">
    <w:name w:val="annotation reference"/>
    <w:basedOn w:val="a0"/>
    <w:uiPriority w:val="99"/>
    <w:semiHidden/>
    <w:unhideWhenUsed/>
    <w:rsid w:val="00490624"/>
    <w:rPr>
      <w:sz w:val="16"/>
      <w:szCs w:val="16"/>
    </w:rPr>
  </w:style>
  <w:style w:type="paragraph" w:styleId="af1">
    <w:name w:val="annotation text"/>
    <w:basedOn w:val="a"/>
    <w:link w:val="af2"/>
    <w:uiPriority w:val="99"/>
    <w:semiHidden/>
    <w:unhideWhenUsed/>
    <w:rsid w:val="00490624"/>
    <w:pPr>
      <w:spacing w:line="240" w:lineRule="auto"/>
    </w:pPr>
    <w:rPr>
      <w:sz w:val="20"/>
      <w:szCs w:val="20"/>
    </w:rPr>
  </w:style>
  <w:style w:type="character" w:customStyle="1" w:styleId="af2">
    <w:name w:val="Текст примечания Знак"/>
    <w:basedOn w:val="a0"/>
    <w:link w:val="af1"/>
    <w:uiPriority w:val="99"/>
    <w:semiHidden/>
    <w:rsid w:val="00490624"/>
    <w:rPr>
      <w:lang w:eastAsia="en-US"/>
    </w:rPr>
  </w:style>
  <w:style w:type="paragraph" w:styleId="af3">
    <w:name w:val="annotation subject"/>
    <w:basedOn w:val="af1"/>
    <w:next w:val="af1"/>
    <w:link w:val="af4"/>
    <w:uiPriority w:val="99"/>
    <w:semiHidden/>
    <w:unhideWhenUsed/>
    <w:rsid w:val="00490624"/>
    <w:rPr>
      <w:b/>
      <w:bCs/>
    </w:rPr>
  </w:style>
  <w:style w:type="character" w:customStyle="1" w:styleId="af4">
    <w:name w:val="Тема примечания Знак"/>
    <w:basedOn w:val="af2"/>
    <w:link w:val="af3"/>
    <w:uiPriority w:val="99"/>
    <w:semiHidden/>
    <w:rsid w:val="00490624"/>
    <w:rPr>
      <w:b/>
      <w:bCs/>
      <w:lang w:eastAsia="en-US"/>
    </w:rPr>
  </w:style>
  <w:style w:type="character" w:customStyle="1" w:styleId="apple-converted-space">
    <w:name w:val="apple-converted-space"/>
    <w:basedOn w:val="a0"/>
    <w:rsid w:val="008C2390"/>
  </w:style>
  <w:style w:type="paragraph" w:customStyle="1" w:styleId="labojumupamats">
    <w:name w:val="labojumu_pamats"/>
    <w:basedOn w:val="a"/>
    <w:rsid w:val="008C2390"/>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af5">
    <w:name w:val="footnote text"/>
    <w:basedOn w:val="a"/>
    <w:link w:val="af6"/>
    <w:uiPriority w:val="99"/>
    <w:semiHidden/>
    <w:unhideWhenUsed/>
    <w:rsid w:val="00D13CC3"/>
    <w:pPr>
      <w:spacing w:after="0" w:line="240" w:lineRule="auto"/>
    </w:pPr>
    <w:rPr>
      <w:sz w:val="20"/>
      <w:szCs w:val="20"/>
    </w:rPr>
  </w:style>
  <w:style w:type="character" w:customStyle="1" w:styleId="af6">
    <w:name w:val="Текст сноски Знак"/>
    <w:basedOn w:val="a0"/>
    <w:link w:val="af5"/>
    <w:uiPriority w:val="99"/>
    <w:semiHidden/>
    <w:rsid w:val="00D13CC3"/>
    <w:rPr>
      <w:lang w:eastAsia="en-US"/>
    </w:rPr>
  </w:style>
  <w:style w:type="character" w:styleId="af7">
    <w:name w:val="footnote reference"/>
    <w:basedOn w:val="a0"/>
    <w:uiPriority w:val="99"/>
    <w:semiHidden/>
    <w:unhideWhenUsed/>
    <w:rsid w:val="00D13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link w:val="BodyTextIndent"/>
    <w:uiPriority w:val="99"/>
    <w:rsid w:val="00E80A25"/>
    <w:rPr>
      <w:rFonts w:ascii="Times New Roman" w:eastAsia="Times New Roman" w:hAnsi="Times New Roman"/>
      <w:lang w:eastAsia="en-US"/>
    </w:rPr>
  </w:style>
  <w:style w:type="paragraph" w:customStyle="1" w:styleId="tv213">
    <w:name w:val="tv213"/>
    <w:basedOn w:val="Normal"/>
    <w:rsid w:val="00853695"/>
    <w:pPr>
      <w:widowControl/>
      <w:spacing w:before="100" w:beforeAutospacing="1" w:after="100" w:afterAutospacing="1" w:line="240" w:lineRule="auto"/>
    </w:pPr>
    <w:rPr>
      <w:rFonts w:ascii="Times" w:hAnsi="Times"/>
      <w:sz w:val="20"/>
      <w:szCs w:val="20"/>
      <w:lang w:val="en-US"/>
    </w:rPr>
  </w:style>
  <w:style w:type="paragraph" w:styleId="NoSpacing">
    <w:name w:val="No Spacing"/>
    <w:uiPriority w:val="1"/>
    <w:qFormat/>
    <w:rsid w:val="00B663B1"/>
    <w:pPr>
      <w:widowControl w:val="0"/>
    </w:pPr>
    <w:rPr>
      <w:sz w:val="22"/>
      <w:szCs w:val="22"/>
      <w:lang w:eastAsia="en-US"/>
    </w:rPr>
  </w:style>
  <w:style w:type="paragraph" w:styleId="ListParagraph">
    <w:name w:val="List Paragraph"/>
    <w:basedOn w:val="Normal"/>
    <w:uiPriority w:val="34"/>
    <w:qFormat/>
    <w:rsid w:val="00C4187B"/>
    <w:pPr>
      <w:ind w:left="720"/>
      <w:contextualSpacing/>
    </w:pPr>
  </w:style>
  <w:style w:type="character" w:styleId="CommentReference">
    <w:name w:val="annotation reference"/>
    <w:basedOn w:val="DefaultParagraphFont"/>
    <w:uiPriority w:val="99"/>
    <w:semiHidden/>
    <w:unhideWhenUsed/>
    <w:rsid w:val="00490624"/>
    <w:rPr>
      <w:sz w:val="16"/>
      <w:szCs w:val="16"/>
    </w:rPr>
  </w:style>
  <w:style w:type="paragraph" w:styleId="CommentText">
    <w:name w:val="annotation text"/>
    <w:basedOn w:val="Normal"/>
    <w:link w:val="CommentTextChar"/>
    <w:uiPriority w:val="99"/>
    <w:semiHidden/>
    <w:unhideWhenUsed/>
    <w:rsid w:val="00490624"/>
    <w:pPr>
      <w:spacing w:line="240" w:lineRule="auto"/>
    </w:pPr>
    <w:rPr>
      <w:sz w:val="20"/>
      <w:szCs w:val="20"/>
    </w:rPr>
  </w:style>
  <w:style w:type="character" w:customStyle="1" w:styleId="CommentTextChar">
    <w:name w:val="Comment Text Char"/>
    <w:basedOn w:val="DefaultParagraphFont"/>
    <w:link w:val="CommentText"/>
    <w:uiPriority w:val="99"/>
    <w:semiHidden/>
    <w:rsid w:val="00490624"/>
    <w:rPr>
      <w:lang w:eastAsia="en-US"/>
    </w:rPr>
  </w:style>
  <w:style w:type="paragraph" w:styleId="CommentSubject">
    <w:name w:val="annotation subject"/>
    <w:basedOn w:val="CommentText"/>
    <w:next w:val="CommentText"/>
    <w:link w:val="CommentSubjectChar"/>
    <w:uiPriority w:val="99"/>
    <w:semiHidden/>
    <w:unhideWhenUsed/>
    <w:rsid w:val="00490624"/>
    <w:rPr>
      <w:b/>
      <w:bCs/>
    </w:rPr>
  </w:style>
  <w:style w:type="character" w:customStyle="1" w:styleId="CommentSubjectChar">
    <w:name w:val="Comment Subject Char"/>
    <w:basedOn w:val="CommentTextChar"/>
    <w:link w:val="CommentSubject"/>
    <w:uiPriority w:val="99"/>
    <w:semiHidden/>
    <w:rsid w:val="00490624"/>
    <w:rPr>
      <w:b/>
      <w:bCs/>
      <w:lang w:eastAsia="en-US"/>
    </w:rPr>
  </w:style>
  <w:style w:type="character" w:customStyle="1" w:styleId="apple-converted-space">
    <w:name w:val="apple-converted-space"/>
    <w:basedOn w:val="DefaultParagraphFont"/>
    <w:rsid w:val="008C2390"/>
  </w:style>
  <w:style w:type="paragraph" w:customStyle="1" w:styleId="labojumupamats">
    <w:name w:val="labojumu_pamats"/>
    <w:basedOn w:val="Normal"/>
    <w:rsid w:val="008C2390"/>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D13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CC3"/>
    <w:rPr>
      <w:lang w:eastAsia="en-US"/>
    </w:rPr>
  </w:style>
  <w:style w:type="character" w:styleId="FootnoteReference">
    <w:name w:val="footnote reference"/>
    <w:basedOn w:val="DefaultParagraphFont"/>
    <w:uiPriority w:val="99"/>
    <w:semiHidden/>
    <w:unhideWhenUsed/>
    <w:rsid w:val="00D13CC3"/>
    <w:rPr>
      <w:vertAlign w:val="superscript"/>
    </w:rPr>
  </w:style>
</w:styles>
</file>

<file path=word/webSettings.xml><?xml version="1.0" encoding="utf-8"?>
<w:webSettings xmlns:r="http://schemas.openxmlformats.org/officeDocument/2006/relationships" xmlns:w="http://schemas.openxmlformats.org/wordprocessingml/2006/main">
  <w:divs>
    <w:div w:id="197669862">
      <w:bodyDiv w:val="1"/>
      <w:marLeft w:val="0"/>
      <w:marRight w:val="0"/>
      <w:marTop w:val="0"/>
      <w:marBottom w:val="0"/>
      <w:divBdr>
        <w:top w:val="none" w:sz="0" w:space="0" w:color="auto"/>
        <w:left w:val="none" w:sz="0" w:space="0" w:color="auto"/>
        <w:bottom w:val="none" w:sz="0" w:space="0" w:color="auto"/>
        <w:right w:val="none" w:sz="0" w:space="0" w:color="auto"/>
      </w:divBdr>
      <w:divsChild>
        <w:div w:id="271325711">
          <w:marLeft w:val="0"/>
          <w:marRight w:val="0"/>
          <w:marTop w:val="0"/>
          <w:marBottom w:val="0"/>
          <w:divBdr>
            <w:top w:val="none" w:sz="0" w:space="0" w:color="auto"/>
            <w:left w:val="none" w:sz="0" w:space="0" w:color="auto"/>
            <w:bottom w:val="none" w:sz="0" w:space="0" w:color="auto"/>
            <w:right w:val="none" w:sz="0" w:space="0" w:color="auto"/>
          </w:divBdr>
        </w:div>
        <w:div w:id="1071121523">
          <w:marLeft w:val="0"/>
          <w:marRight w:val="0"/>
          <w:marTop w:val="0"/>
          <w:marBottom w:val="0"/>
          <w:divBdr>
            <w:top w:val="none" w:sz="0" w:space="0" w:color="auto"/>
            <w:left w:val="none" w:sz="0" w:space="0" w:color="auto"/>
            <w:bottom w:val="none" w:sz="0" w:space="0" w:color="auto"/>
            <w:right w:val="none" w:sz="0" w:space="0" w:color="auto"/>
          </w:divBdr>
        </w:div>
        <w:div w:id="638417215">
          <w:marLeft w:val="0"/>
          <w:marRight w:val="0"/>
          <w:marTop w:val="0"/>
          <w:marBottom w:val="0"/>
          <w:divBdr>
            <w:top w:val="none" w:sz="0" w:space="0" w:color="auto"/>
            <w:left w:val="none" w:sz="0" w:space="0" w:color="auto"/>
            <w:bottom w:val="none" w:sz="0" w:space="0" w:color="auto"/>
            <w:right w:val="none" w:sz="0" w:space="0" w:color="auto"/>
          </w:divBdr>
        </w:div>
      </w:divsChild>
    </w:div>
    <w:div w:id="1033309890">
      <w:bodyDiv w:val="1"/>
      <w:marLeft w:val="0"/>
      <w:marRight w:val="0"/>
      <w:marTop w:val="0"/>
      <w:marBottom w:val="0"/>
      <w:divBdr>
        <w:top w:val="none" w:sz="0" w:space="0" w:color="auto"/>
        <w:left w:val="none" w:sz="0" w:space="0" w:color="auto"/>
        <w:bottom w:val="none" w:sz="0" w:space="0" w:color="auto"/>
        <w:right w:val="none" w:sz="0" w:space="0" w:color="auto"/>
      </w:divBdr>
      <w:divsChild>
        <w:div w:id="315840198">
          <w:marLeft w:val="0"/>
          <w:marRight w:val="0"/>
          <w:marTop w:val="0"/>
          <w:marBottom w:val="0"/>
          <w:divBdr>
            <w:top w:val="none" w:sz="0" w:space="0" w:color="auto"/>
            <w:left w:val="none" w:sz="0" w:space="0" w:color="auto"/>
            <w:bottom w:val="none" w:sz="0" w:space="0" w:color="auto"/>
            <w:right w:val="none" w:sz="0" w:space="0" w:color="auto"/>
          </w:divBdr>
        </w:div>
        <w:div w:id="495269580">
          <w:marLeft w:val="0"/>
          <w:marRight w:val="0"/>
          <w:marTop w:val="0"/>
          <w:marBottom w:val="0"/>
          <w:divBdr>
            <w:top w:val="none" w:sz="0" w:space="0" w:color="auto"/>
            <w:left w:val="none" w:sz="0" w:space="0" w:color="auto"/>
            <w:bottom w:val="none" w:sz="0" w:space="0" w:color="auto"/>
            <w:right w:val="none" w:sz="0" w:space="0" w:color="auto"/>
          </w:divBdr>
        </w:div>
      </w:divsChild>
    </w:div>
    <w:div w:id="1582829642">
      <w:bodyDiv w:val="1"/>
      <w:marLeft w:val="0"/>
      <w:marRight w:val="0"/>
      <w:marTop w:val="0"/>
      <w:marBottom w:val="0"/>
      <w:divBdr>
        <w:top w:val="none" w:sz="0" w:space="0" w:color="auto"/>
        <w:left w:val="none" w:sz="0" w:space="0" w:color="auto"/>
        <w:bottom w:val="none" w:sz="0" w:space="0" w:color="auto"/>
        <w:right w:val="none" w:sz="0" w:space="0" w:color="auto"/>
      </w:divBdr>
      <w:divsChild>
        <w:div w:id="1916090045">
          <w:marLeft w:val="0"/>
          <w:marRight w:val="0"/>
          <w:marTop w:val="0"/>
          <w:marBottom w:val="0"/>
          <w:divBdr>
            <w:top w:val="none" w:sz="0" w:space="0" w:color="auto"/>
            <w:left w:val="none" w:sz="0" w:space="0" w:color="auto"/>
            <w:bottom w:val="none" w:sz="0" w:space="0" w:color="auto"/>
            <w:right w:val="none" w:sz="0" w:space="0" w:color="auto"/>
          </w:divBdr>
        </w:div>
        <w:div w:id="2032487585">
          <w:marLeft w:val="0"/>
          <w:marRight w:val="0"/>
          <w:marTop w:val="0"/>
          <w:marBottom w:val="0"/>
          <w:divBdr>
            <w:top w:val="none" w:sz="0" w:space="0" w:color="auto"/>
            <w:left w:val="none" w:sz="0" w:space="0" w:color="auto"/>
            <w:bottom w:val="none" w:sz="0" w:space="0" w:color="auto"/>
            <w:right w:val="none" w:sz="0" w:space="0" w:color="auto"/>
          </w:divBdr>
        </w:div>
        <w:div w:id="1505895139">
          <w:marLeft w:val="0"/>
          <w:marRight w:val="0"/>
          <w:marTop w:val="0"/>
          <w:marBottom w:val="0"/>
          <w:divBdr>
            <w:top w:val="none" w:sz="0" w:space="0" w:color="auto"/>
            <w:left w:val="none" w:sz="0" w:space="0" w:color="auto"/>
            <w:bottom w:val="none" w:sz="0" w:space="0" w:color="auto"/>
            <w:right w:val="none" w:sz="0" w:space="0" w:color="auto"/>
          </w:divBdr>
        </w:div>
      </w:divsChild>
    </w:div>
    <w:div w:id="1746680304">
      <w:bodyDiv w:val="1"/>
      <w:marLeft w:val="0"/>
      <w:marRight w:val="0"/>
      <w:marTop w:val="0"/>
      <w:marBottom w:val="0"/>
      <w:divBdr>
        <w:top w:val="none" w:sz="0" w:space="0" w:color="auto"/>
        <w:left w:val="none" w:sz="0" w:space="0" w:color="auto"/>
        <w:bottom w:val="none" w:sz="0" w:space="0" w:color="auto"/>
        <w:right w:val="none" w:sz="0" w:space="0" w:color="auto"/>
      </w:divBdr>
      <w:divsChild>
        <w:div w:id="636571786">
          <w:marLeft w:val="0"/>
          <w:marRight w:val="0"/>
          <w:marTop w:val="0"/>
          <w:marBottom w:val="0"/>
          <w:divBdr>
            <w:top w:val="none" w:sz="0" w:space="0" w:color="auto"/>
            <w:left w:val="none" w:sz="0" w:space="0" w:color="auto"/>
            <w:bottom w:val="none" w:sz="0" w:space="0" w:color="auto"/>
            <w:right w:val="none" w:sz="0" w:space="0" w:color="auto"/>
          </w:divBdr>
        </w:div>
        <w:div w:id="1870725560">
          <w:marLeft w:val="0"/>
          <w:marRight w:val="0"/>
          <w:marTop w:val="0"/>
          <w:marBottom w:val="0"/>
          <w:divBdr>
            <w:top w:val="none" w:sz="0" w:space="0" w:color="auto"/>
            <w:left w:val="none" w:sz="0" w:space="0" w:color="auto"/>
            <w:bottom w:val="none" w:sz="0" w:space="0" w:color="auto"/>
            <w:right w:val="none" w:sz="0" w:space="0" w:color="auto"/>
          </w:divBdr>
        </w:div>
        <w:div w:id="70128857">
          <w:marLeft w:val="0"/>
          <w:marRight w:val="0"/>
          <w:marTop w:val="0"/>
          <w:marBottom w:val="0"/>
          <w:divBdr>
            <w:top w:val="none" w:sz="0" w:space="0" w:color="auto"/>
            <w:left w:val="none" w:sz="0" w:space="0" w:color="auto"/>
            <w:bottom w:val="none" w:sz="0" w:space="0" w:color="auto"/>
            <w:right w:val="none" w:sz="0" w:space="0" w:color="auto"/>
          </w:divBdr>
        </w:div>
      </w:divsChild>
    </w:div>
    <w:div w:id="1934436866">
      <w:bodyDiv w:val="1"/>
      <w:marLeft w:val="0"/>
      <w:marRight w:val="0"/>
      <w:marTop w:val="0"/>
      <w:marBottom w:val="0"/>
      <w:divBdr>
        <w:top w:val="none" w:sz="0" w:space="0" w:color="auto"/>
        <w:left w:val="none" w:sz="0" w:space="0" w:color="auto"/>
        <w:bottom w:val="none" w:sz="0" w:space="0" w:color="auto"/>
        <w:right w:val="none" w:sz="0" w:space="0" w:color="auto"/>
      </w:divBdr>
      <w:divsChild>
        <w:div w:id="644747833">
          <w:marLeft w:val="0"/>
          <w:marRight w:val="0"/>
          <w:marTop w:val="0"/>
          <w:marBottom w:val="0"/>
          <w:divBdr>
            <w:top w:val="none" w:sz="0" w:space="0" w:color="auto"/>
            <w:left w:val="none" w:sz="0" w:space="0" w:color="auto"/>
            <w:bottom w:val="none" w:sz="0" w:space="0" w:color="auto"/>
            <w:right w:val="none" w:sz="0" w:space="0" w:color="auto"/>
          </w:divBdr>
        </w:div>
        <w:div w:id="522985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jurmala.lv"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ma.valdman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mala.lv/docs/j16/l/j16013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rmala.lv" TargetMode="External"/><Relationship Id="rId4" Type="http://schemas.openxmlformats.org/officeDocument/2006/relationships/settings" Target="settings.xml"/><Relationship Id="rId9" Type="http://schemas.openxmlformats.org/officeDocument/2006/relationships/hyperlink" Target="https://geolatvija.lv/geo/tapis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6EAC-192F-4CDD-96FE-AC2CC484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Atzinums par Jūrmalas TPG</vt:lpstr>
    </vt:vector>
  </TitlesOfParts>
  <Company/>
  <LinksUpToDate>false</LinksUpToDate>
  <CharactersWithSpaces>16399</CharactersWithSpaces>
  <SharedDoc>false</SharedDoc>
  <HLinks>
    <vt:vector size="30" baseType="variant">
      <vt:variant>
        <vt:i4>2490392</vt:i4>
      </vt:variant>
      <vt:variant>
        <vt:i4>21</vt:i4>
      </vt:variant>
      <vt:variant>
        <vt:i4>0</vt:i4>
      </vt:variant>
      <vt:variant>
        <vt:i4>5</vt:i4>
      </vt:variant>
      <vt:variant>
        <vt:lpwstr>mailto:ilze.aigare@varam.gov.lv</vt:lpwstr>
      </vt:variant>
      <vt:variant>
        <vt:lpwstr/>
      </vt:variant>
      <vt:variant>
        <vt:i4>786516</vt:i4>
      </vt:variant>
      <vt:variant>
        <vt:i4>17</vt:i4>
      </vt:variant>
      <vt:variant>
        <vt:i4>0</vt:i4>
      </vt:variant>
      <vt:variant>
        <vt:i4>5</vt:i4>
      </vt:variant>
      <vt:variant>
        <vt:lpwstr>http://jurmala.lv/docs/j16/l/j160138.htm</vt:lpwstr>
      </vt:variant>
      <vt:variant>
        <vt:lpwstr/>
      </vt:variant>
      <vt:variant>
        <vt:i4>7340156</vt:i4>
      </vt:variant>
      <vt:variant>
        <vt:i4>12</vt:i4>
      </vt:variant>
      <vt:variant>
        <vt:i4>0</vt:i4>
      </vt:variant>
      <vt:variant>
        <vt:i4>5</vt:i4>
      </vt:variant>
      <vt:variant>
        <vt:lpwstr>http://www.jurmala.lv/</vt:lpwstr>
      </vt:variant>
      <vt:variant>
        <vt:lpwstr/>
      </vt:variant>
      <vt:variant>
        <vt:i4>5963898</vt:i4>
      </vt:variant>
      <vt:variant>
        <vt:i4>9</vt:i4>
      </vt:variant>
      <vt:variant>
        <vt:i4>0</vt:i4>
      </vt:variant>
      <vt:variant>
        <vt:i4>5</vt:i4>
      </vt:variant>
      <vt:variant>
        <vt:lpwstr>https://geolatvija.lv/geo/tapis3</vt:lpwstr>
      </vt:variant>
      <vt:variant>
        <vt:lpwstr>document_432</vt:lpwstr>
      </vt:variant>
      <vt:variant>
        <vt:i4>6684741</vt:i4>
      </vt:variant>
      <vt:variant>
        <vt:i4>6</vt:i4>
      </vt:variant>
      <vt:variant>
        <vt:i4>0</vt:i4>
      </vt:variant>
      <vt:variant>
        <vt:i4>5</vt:i4>
      </vt:variant>
      <vt:variant>
        <vt:lpwstr>mailto:pasts@jurmala.lv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Jūrmalas TPG</dc:title>
  <dc:creator>Tatjana Rainiceca</dc:creator>
  <cp:lastModifiedBy>Rudis</cp:lastModifiedBy>
  <cp:revision>2</cp:revision>
  <dcterms:created xsi:type="dcterms:W3CDTF">2016-07-28T13:48:00Z</dcterms:created>
  <dcterms:modified xsi:type="dcterms:W3CDTF">2016-07-28T13:48:00Z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